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7F337" w14:textId="77777777" w:rsidR="008917C4" w:rsidRPr="008917C4" w:rsidRDefault="008917C4" w:rsidP="008917C4">
      <w:pPr>
        <w:pStyle w:val="3GPPHeader"/>
        <w:spacing w:after="60"/>
        <w:rPr>
          <w:sz w:val="20"/>
          <w:szCs w:val="20"/>
          <w:highlight w:val="yellow"/>
        </w:rPr>
      </w:pPr>
      <w:r w:rsidRPr="008917C4">
        <w:rPr>
          <w:sz w:val="20"/>
          <w:szCs w:val="20"/>
        </w:rPr>
        <w:t>3GPP TSG-RAN WG1 Meeting #97</w:t>
      </w:r>
      <w:r w:rsidRPr="008917C4">
        <w:rPr>
          <w:sz w:val="20"/>
          <w:szCs w:val="20"/>
        </w:rPr>
        <w:tab/>
        <w:t xml:space="preserve">Tdoc </w:t>
      </w:r>
      <w:r>
        <w:rPr>
          <w:sz w:val="20"/>
          <w:szCs w:val="20"/>
        </w:rPr>
        <w:t>R1-1907331</w:t>
      </w:r>
    </w:p>
    <w:p w14:paraId="00DA4858" w14:textId="77777777" w:rsidR="008917C4" w:rsidRPr="008917C4" w:rsidRDefault="008917C4" w:rsidP="008917C4">
      <w:pPr>
        <w:pStyle w:val="3GPPHeader"/>
        <w:rPr>
          <w:sz w:val="20"/>
          <w:szCs w:val="20"/>
        </w:rPr>
      </w:pPr>
      <w:r w:rsidRPr="008917C4">
        <w:rPr>
          <w:sz w:val="20"/>
          <w:szCs w:val="20"/>
        </w:rPr>
        <w:t>Reno, USA, May 13-17, 2019</w:t>
      </w:r>
    </w:p>
    <w:p w14:paraId="511616C2" w14:textId="77777777" w:rsidR="008917C4" w:rsidRPr="000833FA" w:rsidRDefault="008917C4" w:rsidP="008917C4">
      <w:pPr>
        <w:pStyle w:val="Header"/>
      </w:pPr>
    </w:p>
    <w:p w14:paraId="5773F28F" w14:textId="77777777" w:rsidR="008917C4" w:rsidRPr="0003368D" w:rsidRDefault="008917C4" w:rsidP="008917C4">
      <w:pPr>
        <w:pStyle w:val="Header"/>
        <w:tabs>
          <w:tab w:val="clear" w:pos="4536"/>
          <w:tab w:val="left" w:pos="1800"/>
        </w:tabs>
        <w:ind w:left="1800" w:hanging="1800"/>
      </w:pPr>
      <w:r w:rsidRPr="0003368D">
        <w:t>Source:</w:t>
      </w:r>
      <w:r w:rsidRPr="0003368D">
        <w:tab/>
        <w:t>Ericsson</w:t>
      </w:r>
    </w:p>
    <w:p w14:paraId="162D3457" w14:textId="77777777" w:rsidR="008917C4" w:rsidRPr="00E220C0" w:rsidRDefault="008917C4" w:rsidP="008917C4">
      <w:pPr>
        <w:pStyle w:val="Header"/>
        <w:tabs>
          <w:tab w:val="clear" w:pos="4536"/>
          <w:tab w:val="left" w:pos="1800"/>
        </w:tabs>
      </w:pPr>
      <w:r w:rsidRPr="0003368D">
        <w:t>Title:</w:t>
      </w:r>
      <w:bookmarkStart w:id="0" w:name="Title"/>
      <w:bookmarkEnd w:id="0"/>
      <w:r w:rsidRPr="0003368D">
        <w:tab/>
      </w:r>
      <w:r>
        <w:t>Cross-carrier scheduling with different numerologies</w:t>
      </w:r>
    </w:p>
    <w:p w14:paraId="5F3D9FA8" w14:textId="77777777" w:rsidR="008917C4" w:rsidRPr="00E220C0" w:rsidRDefault="008917C4" w:rsidP="008917C4">
      <w:pPr>
        <w:pStyle w:val="Header"/>
        <w:tabs>
          <w:tab w:val="left" w:pos="1800"/>
        </w:tabs>
      </w:pPr>
      <w:r w:rsidRPr="00E220C0">
        <w:t>Agenda Item:</w:t>
      </w:r>
      <w:bookmarkStart w:id="1" w:name="Source"/>
      <w:bookmarkEnd w:id="1"/>
      <w:r w:rsidRPr="00E220C0">
        <w:tab/>
      </w:r>
      <w:r>
        <w:t>7.2.13.2</w:t>
      </w:r>
    </w:p>
    <w:p w14:paraId="5A22D6C2" w14:textId="77777777" w:rsidR="008917C4" w:rsidRPr="0003368D" w:rsidRDefault="008917C4" w:rsidP="008917C4">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595AB72" w14:textId="77777777" w:rsidR="008917C4" w:rsidRPr="002100D2" w:rsidRDefault="008917C4" w:rsidP="008917C4">
      <w:pPr>
        <w:pBdr>
          <w:bottom w:val="single" w:sz="4" w:space="1" w:color="auto"/>
        </w:pBdr>
        <w:tabs>
          <w:tab w:val="left" w:pos="2552"/>
        </w:tabs>
      </w:pPr>
    </w:p>
    <w:p w14:paraId="59DED528" w14:textId="77777777" w:rsidR="008917C4" w:rsidRDefault="008917C4" w:rsidP="008917C4">
      <w:pPr>
        <w:pStyle w:val="Heading1"/>
        <w:spacing w:before="180"/>
        <w:ind w:left="562" w:hanging="562"/>
      </w:pPr>
      <w:r>
        <w:t>Introduction</w:t>
      </w:r>
    </w:p>
    <w:p w14:paraId="54A447D5" w14:textId="77777777" w:rsidR="008917C4" w:rsidRPr="00D75435" w:rsidRDefault="008917C4" w:rsidP="008917C4">
      <w:pPr>
        <w:pStyle w:val="BodyText"/>
      </w:pPr>
      <w:bookmarkStart w:id="3" w:name="_Ref178064866"/>
      <w:r>
        <w:rPr>
          <w:lang w:val="en-AU"/>
        </w:rPr>
        <w:t xml:space="preserve">In this document we discuss </w:t>
      </w:r>
      <w:r w:rsidR="005D6101">
        <w:rPr>
          <w:lang w:val="en-AU"/>
        </w:rPr>
        <w:t xml:space="preserve">remaining </w:t>
      </w:r>
      <w:r>
        <w:rPr>
          <w:lang w:val="en-AU"/>
        </w:rPr>
        <w:t>issues related to specification of cross-carrier scheduling with different numerologies. In RAN#83, a way-forward [2] was endorsed regarding work scope in the cross-carrier scheduling with different numerologies.</w:t>
      </w:r>
      <w:r w:rsidR="005D6101">
        <w:rPr>
          <w:lang w:val="en-AU"/>
        </w:rPr>
        <w:t xml:space="preserve"> An email discussion [96b-NR-09] was started to collect views on the remaining issues. </w:t>
      </w:r>
    </w:p>
    <w:p w14:paraId="3D648A39" w14:textId="77777777" w:rsidR="008917C4" w:rsidRDefault="008917C4" w:rsidP="008917C4">
      <w:pPr>
        <w:pStyle w:val="Heading1"/>
        <w:tabs>
          <w:tab w:val="clear" w:pos="3544"/>
        </w:tabs>
        <w:ind w:left="567"/>
      </w:pPr>
      <w:r>
        <w:t>Discussion</w:t>
      </w:r>
    </w:p>
    <w:p w14:paraId="5517905C" w14:textId="5ED5370F" w:rsidR="008917C4" w:rsidRPr="00067A23" w:rsidRDefault="008917C4" w:rsidP="008917C4">
      <w:pPr>
        <w:pStyle w:val="BodyText"/>
      </w:pPr>
      <w:r>
        <w:t xml:space="preserve">We discuss the following aspects: 1) K0 handling, 2) QCL aspect and 3) </w:t>
      </w:r>
      <w:r w:rsidR="00943460" w:rsidRPr="00943460">
        <w:t>Support for contiguous data transmissions</w:t>
      </w:r>
      <w:r w:rsidR="00943460">
        <w:t xml:space="preserve">, </w:t>
      </w:r>
      <w:r w:rsidR="008E0072">
        <w:t xml:space="preserve">4) </w:t>
      </w:r>
      <w:r w:rsidR="00943460" w:rsidRPr="00943460">
        <w:t>PDCCH monitoring and configuration</w:t>
      </w:r>
      <w:r w:rsidR="00943460">
        <w:t>, and some other topics.</w:t>
      </w:r>
    </w:p>
    <w:bookmarkEnd w:id="3"/>
    <w:p w14:paraId="040A0998" w14:textId="77777777" w:rsidR="008917C4" w:rsidRPr="00BB500B" w:rsidRDefault="008917C4" w:rsidP="008917C4">
      <w:pPr>
        <w:pStyle w:val="BodyText"/>
        <w:rPr>
          <w:rFonts w:ascii="Helvetica" w:hAnsi="Helvetica" w:cs="Helvetica"/>
          <w:b/>
          <w:u w:val="single"/>
        </w:rPr>
      </w:pPr>
      <w:r w:rsidRPr="00BB500B">
        <w:rPr>
          <w:rFonts w:ascii="Helvetica" w:hAnsi="Helvetica" w:cs="Helvetica"/>
          <w:b/>
          <w:u w:val="single"/>
        </w:rPr>
        <w:t>2.1 K0 handling</w:t>
      </w:r>
    </w:p>
    <w:p w14:paraId="101EBC7A" w14:textId="77777777" w:rsidR="008917C4" w:rsidRDefault="008917C4" w:rsidP="008917C4">
      <w:pPr>
        <w:jc w:val="both"/>
      </w:pPr>
    </w:p>
    <w:p w14:paraId="1E66EA24" w14:textId="08CC912B" w:rsidR="005D6101" w:rsidRDefault="008917C4" w:rsidP="008917C4">
      <w:pPr>
        <w:jc w:val="both"/>
      </w:pPr>
      <w:r>
        <w:t xml:space="preserve">Regarding K0 handling, </w:t>
      </w:r>
      <w:r w:rsidR="005D6101">
        <w:t xml:space="preserve">further agreements were made related to K0 offset value in RAN1#96bis, including quantization to next PDSCH slot after applying the delta offset relative to the PDCCH end. The following table format was discussed in last meeting, and views were sought in the email discussion. </w:t>
      </w:r>
    </w:p>
    <w:p w14:paraId="6D312604" w14:textId="77777777" w:rsidR="005D6101" w:rsidRDefault="005D6101" w:rsidP="008917C4">
      <w:pPr>
        <w:jc w:val="both"/>
      </w:pPr>
    </w:p>
    <w:p w14:paraId="118C5779" w14:textId="77777777" w:rsidR="005D6101" w:rsidRDefault="005D6101" w:rsidP="005D6101">
      <w:pPr>
        <w:pStyle w:val="ListParagraph"/>
        <w:numPr>
          <w:ilvl w:val="0"/>
          <w:numId w:val="5"/>
        </w:numPr>
        <w:rPr>
          <w:b/>
        </w:rPr>
      </w:pPr>
      <w:r>
        <w:rPr>
          <w:b/>
        </w:rPr>
        <w:sym w:font="Symbol" w:char="F044"/>
      </w:r>
      <w:r>
        <w:rPr>
          <w:b/>
        </w:rPr>
        <w:t xml:space="preserve"> for PDCCH to PDSCH at least for lower SCS PDCCH to higher SCS PDSCH scheduling</w:t>
      </w:r>
    </w:p>
    <w:p w14:paraId="500485B6" w14:textId="77777777" w:rsidR="005D6101" w:rsidRDefault="005D6101" w:rsidP="005D6101">
      <w:pPr>
        <w:pStyle w:val="Caption"/>
        <w:keepNext/>
        <w:jc w:val="center"/>
      </w:pPr>
      <w:r>
        <w:t xml:space="preserve">Table </w:t>
      </w:r>
      <w:r>
        <w:fldChar w:fldCharType="begin"/>
      </w:r>
      <w:r>
        <w:instrText xml:space="preserve"> SEQ Table \* ARABIC </w:instrText>
      </w:r>
      <w:r>
        <w:fldChar w:fldCharType="separate"/>
      </w:r>
      <w:r>
        <w:t>1</w:t>
      </w:r>
      <w:r>
        <w:fldChar w:fldCharType="end"/>
      </w:r>
      <w:r>
        <w:t xml:space="preserve">: </w:t>
      </w:r>
      <w:r>
        <w:sym w:font="Symbol" w:char="F044"/>
      </w:r>
      <w:r>
        <w:rPr>
          <w:lang w:val="en-US"/>
        </w:rPr>
        <w:t xml:space="preserve"> (at least) for lower SCS PDCCH scheduling a higher SCS PDSCH</w:t>
      </w:r>
    </w:p>
    <w:tbl>
      <w:tblPr>
        <w:tblStyle w:val="TableGrid"/>
        <w:tblW w:w="7371" w:type="dxa"/>
        <w:tblInd w:w="1413" w:type="dxa"/>
        <w:tblLayout w:type="fixed"/>
        <w:tblLook w:val="04A0" w:firstRow="1" w:lastRow="0" w:firstColumn="1" w:lastColumn="0" w:noHBand="0" w:noVBand="1"/>
      </w:tblPr>
      <w:tblGrid>
        <w:gridCol w:w="2268"/>
        <w:gridCol w:w="1701"/>
        <w:gridCol w:w="1701"/>
        <w:gridCol w:w="1701"/>
      </w:tblGrid>
      <w:tr w:rsidR="005D6101" w14:paraId="1FEDC933" w14:textId="77777777" w:rsidTr="004D2DD3">
        <w:trPr>
          <w:trHeight w:val="283"/>
        </w:trPr>
        <w:tc>
          <w:tcPr>
            <w:tcW w:w="2268" w:type="dxa"/>
            <w:shd w:val="clear" w:color="auto" w:fill="BFBFBF" w:themeFill="background1" w:themeFillShade="BF"/>
          </w:tcPr>
          <w:p w14:paraId="588A7F44" w14:textId="77777777" w:rsidR="005D6101" w:rsidRDefault="005D6101" w:rsidP="004D2DD3">
            <w:pPr>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54413FF9" w14:textId="77777777" w:rsidR="005D6101" w:rsidRDefault="005D6101" w:rsidP="004D2DD3">
            <w:pPr>
              <w:jc w:val="center"/>
              <w:rPr>
                <w:rFonts w:ascii="Arial" w:hAnsi="Arial" w:cs="Arial"/>
                <w:b/>
                <w:color w:val="000000"/>
                <w:sz w:val="16"/>
                <w:szCs w:val="16"/>
                <w:lang w:eastAsia="ja-JP"/>
              </w:rPr>
            </w:pPr>
            <w:r>
              <w:rPr>
                <w:rFonts w:ascii="Arial" w:hAnsi="Arial" w:cs="Arial"/>
                <w:b/>
                <w:color w:val="000000"/>
                <w:sz w:val="16"/>
                <w:szCs w:val="16"/>
                <w:lang w:eastAsia="ja-JP"/>
              </w:rPr>
              <w:t>15 kHz</w:t>
            </w:r>
          </w:p>
        </w:tc>
        <w:tc>
          <w:tcPr>
            <w:tcW w:w="1701" w:type="dxa"/>
            <w:shd w:val="clear" w:color="auto" w:fill="BFBFBF" w:themeFill="background1" w:themeFillShade="BF"/>
          </w:tcPr>
          <w:p w14:paraId="66401F5A" w14:textId="77777777" w:rsidR="005D6101" w:rsidRDefault="005D6101" w:rsidP="004D2DD3">
            <w:pPr>
              <w:jc w:val="center"/>
              <w:rPr>
                <w:rFonts w:ascii="Arial" w:hAnsi="Arial" w:cs="Arial"/>
                <w:b/>
                <w:color w:val="000000"/>
                <w:sz w:val="16"/>
                <w:szCs w:val="16"/>
                <w:lang w:eastAsia="ja-JP"/>
              </w:rPr>
            </w:pPr>
            <w:r>
              <w:rPr>
                <w:rFonts w:ascii="Arial" w:hAnsi="Arial" w:cs="Arial"/>
                <w:b/>
                <w:color w:val="000000"/>
                <w:sz w:val="16"/>
                <w:szCs w:val="16"/>
                <w:lang w:eastAsia="ja-JP"/>
              </w:rPr>
              <w:t>30 kHz</w:t>
            </w:r>
          </w:p>
        </w:tc>
        <w:tc>
          <w:tcPr>
            <w:tcW w:w="1701" w:type="dxa"/>
            <w:shd w:val="clear" w:color="auto" w:fill="BFBFBF" w:themeFill="background1" w:themeFillShade="BF"/>
          </w:tcPr>
          <w:p w14:paraId="44FFAF1D" w14:textId="77777777" w:rsidR="005D6101" w:rsidRDefault="005D6101" w:rsidP="004D2DD3">
            <w:pPr>
              <w:jc w:val="center"/>
              <w:rPr>
                <w:rFonts w:ascii="Arial" w:hAnsi="Arial" w:cs="Arial"/>
                <w:b/>
                <w:color w:val="000000"/>
                <w:sz w:val="16"/>
                <w:szCs w:val="16"/>
                <w:lang w:eastAsia="ja-JP"/>
              </w:rPr>
            </w:pPr>
            <w:r>
              <w:rPr>
                <w:rFonts w:ascii="Arial" w:hAnsi="Arial" w:cs="Arial"/>
                <w:b/>
                <w:color w:val="000000"/>
                <w:sz w:val="16"/>
                <w:szCs w:val="16"/>
                <w:lang w:eastAsia="ja-JP"/>
              </w:rPr>
              <w:t>60 kHz</w:t>
            </w:r>
          </w:p>
        </w:tc>
      </w:tr>
      <w:tr w:rsidR="005D6101" w14:paraId="7F350E4D" w14:textId="77777777" w:rsidTr="004D2DD3">
        <w:trPr>
          <w:trHeight w:val="283"/>
        </w:trPr>
        <w:tc>
          <w:tcPr>
            <w:tcW w:w="2268" w:type="dxa"/>
            <w:shd w:val="clear" w:color="auto" w:fill="BFBFBF" w:themeFill="background1" w:themeFillShade="BF"/>
          </w:tcPr>
          <w:p w14:paraId="004C5EF5" w14:textId="77777777" w:rsidR="005D6101" w:rsidRDefault="005D6101" w:rsidP="004D2DD3">
            <w:pPr>
              <w:jc w:val="center"/>
              <w:rPr>
                <w:rFonts w:ascii="Arial" w:hAnsi="Arial" w:cs="Arial"/>
                <w:b/>
                <w:color w:val="000000"/>
                <w:sz w:val="16"/>
                <w:szCs w:val="16"/>
                <w:lang w:eastAsia="ja-JP"/>
              </w:rPr>
            </w:pPr>
            <w:r>
              <w:rPr>
                <w:b/>
              </w:rPr>
              <w:sym w:font="Symbol" w:char="F044"/>
            </w:r>
            <w:r>
              <w:rPr>
                <w:b/>
              </w:rPr>
              <w:t xml:space="preserve"> </w:t>
            </w:r>
            <w:r>
              <w:rPr>
                <w:rFonts w:ascii="Arial" w:hAnsi="Arial" w:cs="Arial"/>
                <w:b/>
                <w:color w:val="000000"/>
                <w:sz w:val="16"/>
                <w:szCs w:val="16"/>
                <w:lang w:eastAsia="ja-JP"/>
              </w:rPr>
              <w:t>[PDCCH symbols]</w:t>
            </w:r>
          </w:p>
        </w:tc>
        <w:tc>
          <w:tcPr>
            <w:tcW w:w="1701" w:type="dxa"/>
            <w:vAlign w:val="center"/>
          </w:tcPr>
          <w:p w14:paraId="0CE37DAD" w14:textId="77777777" w:rsidR="005D6101" w:rsidRDefault="005D6101" w:rsidP="004D2DD3">
            <w:pPr>
              <w:jc w:val="center"/>
            </w:pPr>
            <w:r>
              <w:rPr>
                <w:rFonts w:ascii="Arial" w:hAnsi="Arial" w:cs="Arial"/>
                <w:color w:val="000000"/>
                <w:sz w:val="16"/>
                <w:szCs w:val="16"/>
                <w:lang w:eastAsia="ja-JP"/>
              </w:rPr>
              <w:t>[2-4] symbols</w:t>
            </w:r>
          </w:p>
        </w:tc>
        <w:tc>
          <w:tcPr>
            <w:tcW w:w="1701" w:type="dxa"/>
            <w:vAlign w:val="center"/>
          </w:tcPr>
          <w:p w14:paraId="0E5910D2" w14:textId="77777777" w:rsidR="005D6101" w:rsidRDefault="005D6101" w:rsidP="004D2DD3">
            <w:pPr>
              <w:jc w:val="center"/>
            </w:pPr>
            <w:r>
              <w:rPr>
                <w:rFonts w:ascii="Arial" w:hAnsi="Arial" w:cs="Arial"/>
                <w:color w:val="000000"/>
                <w:sz w:val="16"/>
                <w:szCs w:val="16"/>
                <w:lang w:eastAsia="ja-JP"/>
              </w:rPr>
              <w:t>[4] symbols</w:t>
            </w:r>
          </w:p>
        </w:tc>
        <w:tc>
          <w:tcPr>
            <w:tcW w:w="1701" w:type="dxa"/>
            <w:vAlign w:val="center"/>
          </w:tcPr>
          <w:p w14:paraId="09E70846" w14:textId="77777777" w:rsidR="005D6101" w:rsidRDefault="005D6101" w:rsidP="004D2DD3">
            <w:pPr>
              <w:jc w:val="center"/>
            </w:pPr>
            <w:r>
              <w:rPr>
                <w:rFonts w:ascii="Arial" w:hAnsi="Arial" w:cs="Arial"/>
                <w:color w:val="000000"/>
                <w:sz w:val="16"/>
                <w:szCs w:val="16"/>
                <w:lang w:eastAsia="ja-JP"/>
              </w:rPr>
              <w:t>[6-8] symbols</w:t>
            </w:r>
          </w:p>
        </w:tc>
      </w:tr>
    </w:tbl>
    <w:p w14:paraId="31729041" w14:textId="77777777" w:rsidR="005D6101" w:rsidRDefault="005D6101" w:rsidP="008917C4">
      <w:pPr>
        <w:jc w:val="both"/>
      </w:pPr>
    </w:p>
    <w:p w14:paraId="1314DB9E" w14:textId="77777777" w:rsidR="005D6101" w:rsidRDefault="005D6101" w:rsidP="008917C4">
      <w:pPr>
        <w:jc w:val="both"/>
      </w:pPr>
    </w:p>
    <w:p w14:paraId="2239F340" w14:textId="2AE9D58C" w:rsidR="008917C4" w:rsidRDefault="008917C4" w:rsidP="008917C4">
      <w:pPr>
        <w:jc w:val="both"/>
      </w:pPr>
      <w:r>
        <w:t xml:space="preserve">The factors that can affect delta value include PDCCH processing/decoding time (~ 1-2 symbols at lower numerologies and note that BD/CCEs also change with numerologies) and additionally the maximum received timing difference for the CA case ( ~ 33us as the maximum). Considering these factors, we think the value for minimum delta should be as shown in the below proposal. </w:t>
      </w:r>
    </w:p>
    <w:p w14:paraId="2435903B" w14:textId="77777777" w:rsidR="008917C4" w:rsidRDefault="008917C4" w:rsidP="008917C4"/>
    <w:p w14:paraId="35EAE0D4" w14:textId="767BD7D8" w:rsidR="008917C4" w:rsidRPr="00F84D67" w:rsidRDefault="008917C4" w:rsidP="008917C4">
      <w:pPr>
        <w:rPr>
          <w:bCs/>
          <w:color w:val="000000"/>
          <w:szCs w:val="20"/>
          <w:lang w:eastAsia="ja-JP"/>
        </w:rPr>
      </w:pPr>
      <w:r w:rsidRPr="00742826">
        <w:rPr>
          <w:b/>
          <w:u w:val="single"/>
        </w:rPr>
        <w:t xml:space="preserve">Proposal 1 </w:t>
      </w:r>
      <w:r>
        <w:t xml:space="preserve"> </w:t>
      </w:r>
      <w:r w:rsidRPr="00282212">
        <w:rPr>
          <w:b/>
          <w:bCs/>
          <w:color w:val="000000"/>
          <w:szCs w:val="20"/>
          <w:lang w:eastAsia="ja-JP"/>
        </w:rPr>
        <w:t xml:space="preserve">Minimum values for Δ </w:t>
      </w:r>
      <w:r w:rsidR="005D6101">
        <w:rPr>
          <w:b/>
          <w:bCs/>
          <w:color w:val="000000"/>
          <w:szCs w:val="20"/>
          <w:lang w:eastAsia="ja-JP"/>
        </w:rPr>
        <w:t xml:space="preserve">for case 1-1 </w:t>
      </w:r>
      <w:r w:rsidR="005D6101" w:rsidRPr="005D6101">
        <w:rPr>
          <w:b/>
          <w:bCs/>
          <w:color w:val="000000"/>
          <w:szCs w:val="20"/>
          <w:lang w:eastAsia="ja-JP"/>
        </w:rPr>
        <w:t>lower SCS PDCCH to higher SCS PDSCH</w:t>
      </w:r>
      <w:r w:rsidR="005D6101">
        <w:rPr>
          <w:b/>
          <w:bCs/>
          <w:color w:val="000000"/>
          <w:szCs w:val="20"/>
          <w:lang w:eastAsia="ja-JP"/>
        </w:rPr>
        <w:t xml:space="preserve">: </w:t>
      </w:r>
      <w:r w:rsidR="005D6101" w:rsidRPr="005D6101">
        <w:rPr>
          <w:b/>
          <w:bCs/>
          <w:color w:val="000000"/>
          <w:szCs w:val="20"/>
          <w:lang w:eastAsia="ja-JP"/>
        </w:rPr>
        <w:t>15 kHz: 2 symbols, 30 kHz: 4 symbols, 60 kHz: 6 symbols</w:t>
      </w:r>
      <w:r w:rsidR="005D6101">
        <w:rPr>
          <w:b/>
          <w:bCs/>
          <w:color w:val="000000"/>
          <w:szCs w:val="20"/>
          <w:lang w:eastAsia="ja-JP"/>
        </w:rPr>
        <w:t>.</w:t>
      </w:r>
    </w:p>
    <w:p w14:paraId="0EC0041A" w14:textId="77777777" w:rsidR="008917C4" w:rsidRPr="00F84D67" w:rsidRDefault="008917C4" w:rsidP="008917C4">
      <w:pPr>
        <w:rPr>
          <w:b/>
          <w:bCs/>
          <w:color w:val="000000"/>
          <w:szCs w:val="20"/>
        </w:rPr>
      </w:pPr>
    </w:p>
    <w:p w14:paraId="776A202D" w14:textId="77777777" w:rsidR="005D6101" w:rsidRDefault="005D6101" w:rsidP="005D6101">
      <w:pPr>
        <w:jc w:val="both"/>
      </w:pPr>
      <w:r>
        <w:t xml:space="preserve">For Case 1-2 and Case 2 scheduling, multiple alternatives were identified in RAN1#96bis. </w:t>
      </w:r>
    </w:p>
    <w:p w14:paraId="3D614A2C" w14:textId="77777777" w:rsidR="005D6101" w:rsidRDefault="005D6101" w:rsidP="004D0BA0">
      <w:pPr>
        <w:jc w:val="both"/>
      </w:pPr>
    </w:p>
    <w:p w14:paraId="58673C25" w14:textId="77777777" w:rsidR="005D6101" w:rsidRDefault="005D6101" w:rsidP="005D6101">
      <w:pPr>
        <w:pStyle w:val="ListParagraph"/>
        <w:numPr>
          <w:ilvl w:val="0"/>
          <w:numId w:val="6"/>
        </w:numPr>
        <w:rPr>
          <w:szCs w:val="20"/>
        </w:rPr>
      </w:pPr>
      <w:r>
        <w:rPr>
          <w:szCs w:val="20"/>
        </w:rPr>
        <w:t>For case 1-2 and case 2 scheduling, when lower SCS PDCCH scheduled a higher SCS PDSCH:</w:t>
      </w:r>
    </w:p>
    <w:p w14:paraId="0B7B4032" w14:textId="77777777" w:rsidR="005D6101" w:rsidRDefault="005D6101" w:rsidP="005D6101">
      <w:pPr>
        <w:pStyle w:val="ListParagraph"/>
        <w:numPr>
          <w:ilvl w:val="1"/>
          <w:numId w:val="6"/>
        </w:numPr>
        <w:rPr>
          <w:szCs w:val="20"/>
        </w:rPr>
      </w:pPr>
      <w:r>
        <w:rPr>
          <w:szCs w:val="20"/>
        </w:rPr>
        <w:t>ALT1:</w:t>
      </w:r>
    </w:p>
    <w:p w14:paraId="125A6F18" w14:textId="77777777" w:rsidR="005D6101" w:rsidRDefault="005D6101" w:rsidP="005D6101">
      <w:pPr>
        <w:pStyle w:val="ListParagraph"/>
        <w:numPr>
          <w:ilvl w:val="2"/>
          <w:numId w:val="6"/>
        </w:numPr>
        <w:rPr>
          <w:szCs w:val="20"/>
        </w:rPr>
      </w:pPr>
      <w:r>
        <w:rPr>
          <w:szCs w:val="20"/>
        </w:rPr>
        <w:t xml:space="preserve">The same </w:t>
      </w:r>
      <w:r>
        <w:rPr>
          <w:szCs w:val="20"/>
        </w:rPr>
        <w:sym w:font="Symbol" w:char="F044"/>
      </w:r>
      <w:r>
        <w:rPr>
          <w:szCs w:val="20"/>
        </w:rPr>
        <w:t xml:space="preserve"> and quantization to the next PDSCH slot rule as with case 1-1 scheduling is used</w:t>
      </w:r>
    </w:p>
    <w:p w14:paraId="3264B6A6" w14:textId="77777777" w:rsidR="005D6101" w:rsidRDefault="005D6101" w:rsidP="005D6101">
      <w:pPr>
        <w:pStyle w:val="ListParagraph"/>
        <w:numPr>
          <w:ilvl w:val="1"/>
          <w:numId w:val="6"/>
        </w:numPr>
        <w:rPr>
          <w:szCs w:val="20"/>
        </w:rPr>
      </w:pPr>
      <w:r>
        <w:rPr>
          <w:szCs w:val="20"/>
        </w:rPr>
        <w:t>ALT2:</w:t>
      </w:r>
    </w:p>
    <w:p w14:paraId="5CBFCA5B" w14:textId="77777777" w:rsidR="005D6101" w:rsidRDefault="005D6101" w:rsidP="005D6101">
      <w:pPr>
        <w:pStyle w:val="ListParagraph"/>
        <w:numPr>
          <w:ilvl w:val="2"/>
          <w:numId w:val="6"/>
        </w:numPr>
        <w:rPr>
          <w:szCs w:val="20"/>
        </w:rPr>
      </w:pPr>
      <w:r>
        <w:rPr>
          <w:szCs w:val="20"/>
        </w:rPr>
        <w:t xml:space="preserve">The same </w:t>
      </w:r>
      <w:r>
        <w:rPr>
          <w:szCs w:val="20"/>
        </w:rPr>
        <w:sym w:font="Symbol" w:char="F044"/>
      </w:r>
      <w:r>
        <w:rPr>
          <w:szCs w:val="20"/>
        </w:rPr>
        <w:t xml:space="preserve"> as with case 1-1 scheduling is used </w:t>
      </w:r>
      <w:r>
        <w:rPr>
          <w:szCs w:val="20"/>
          <w:u w:val="single"/>
        </w:rPr>
        <w:t>without the quantization step</w:t>
      </w:r>
      <w:r>
        <w:rPr>
          <w:szCs w:val="20"/>
        </w:rPr>
        <w:t xml:space="preserve"> to the next PDSCH slot boundary</w:t>
      </w:r>
    </w:p>
    <w:p w14:paraId="44C2ECE9" w14:textId="77777777" w:rsidR="005D6101" w:rsidRDefault="005D6101" w:rsidP="005D6101">
      <w:pPr>
        <w:pStyle w:val="ListParagraph"/>
        <w:numPr>
          <w:ilvl w:val="2"/>
          <w:numId w:val="6"/>
        </w:numPr>
        <w:rPr>
          <w:szCs w:val="20"/>
        </w:rPr>
      </w:pPr>
      <w:r>
        <w:rPr>
          <w:szCs w:val="20"/>
        </w:rPr>
        <w:t xml:space="preserve">FFS if an additional offset should be added to </w:t>
      </w:r>
      <w:r>
        <w:rPr>
          <w:szCs w:val="20"/>
        </w:rPr>
        <w:sym w:font="Symbol" w:char="F044"/>
      </w:r>
    </w:p>
    <w:p w14:paraId="0507770C" w14:textId="77777777" w:rsidR="005D6101" w:rsidRDefault="005D6101" w:rsidP="005D6101">
      <w:pPr>
        <w:pStyle w:val="ListParagraph"/>
        <w:numPr>
          <w:ilvl w:val="1"/>
          <w:numId w:val="6"/>
        </w:numPr>
        <w:rPr>
          <w:szCs w:val="20"/>
        </w:rPr>
      </w:pPr>
      <w:r>
        <w:rPr>
          <w:szCs w:val="20"/>
        </w:rPr>
        <w:t>ALT3:</w:t>
      </w:r>
    </w:p>
    <w:p w14:paraId="0A6EB704" w14:textId="77777777" w:rsidR="005D6101" w:rsidRDefault="005D6101" w:rsidP="005D6101">
      <w:pPr>
        <w:pStyle w:val="ListParagraph"/>
        <w:numPr>
          <w:ilvl w:val="2"/>
          <w:numId w:val="6"/>
        </w:numPr>
        <w:rPr>
          <w:szCs w:val="20"/>
        </w:rPr>
      </w:pPr>
      <w:r>
        <w:rPr>
          <w:szCs w:val="20"/>
        </w:rPr>
        <w:t xml:space="preserve">A different </w:t>
      </w:r>
      <w:r>
        <w:rPr>
          <w:szCs w:val="20"/>
        </w:rPr>
        <w:sym w:font="Symbol" w:char="F044"/>
      </w:r>
      <w:r>
        <w:rPr>
          <w:szCs w:val="20"/>
        </w:rPr>
        <w:t xml:space="preserve"> than with case 1-1 scheduling is used </w:t>
      </w:r>
      <w:r>
        <w:rPr>
          <w:szCs w:val="20"/>
          <w:u w:val="single"/>
        </w:rPr>
        <w:t>without the quantization step</w:t>
      </w:r>
      <w:r>
        <w:rPr>
          <w:szCs w:val="20"/>
        </w:rPr>
        <w:t xml:space="preserve"> to the next PDSCH slot boundary</w:t>
      </w:r>
    </w:p>
    <w:p w14:paraId="546FDC02" w14:textId="77777777" w:rsidR="005D6101" w:rsidRDefault="005D6101" w:rsidP="008917C4">
      <w:pPr>
        <w:jc w:val="both"/>
      </w:pPr>
    </w:p>
    <w:p w14:paraId="62582479" w14:textId="77777777" w:rsidR="005D6101" w:rsidRDefault="005D6101" w:rsidP="008917C4">
      <w:pPr>
        <w:jc w:val="both"/>
      </w:pPr>
    </w:p>
    <w:p w14:paraId="3E28C0E5" w14:textId="7F290577" w:rsidR="008917C4" w:rsidRDefault="005D6101" w:rsidP="008917C4">
      <w:pPr>
        <w:jc w:val="both"/>
      </w:pPr>
      <w:r>
        <w:lastRenderedPageBreak/>
        <w:t xml:space="preserve">From our point of view, the same Delta value as applied for case 1-1 should also be applied for case 1-2 and case 2. Moreover, the same principle of quantization to next PDSCH slot should also be carried over as it can provide similar benefit (as case 1-1) </w:t>
      </w:r>
      <w:r w:rsidR="003E219F">
        <w:t>and</w:t>
      </w:r>
      <w:r>
        <w:t xml:space="preserve"> </w:t>
      </w:r>
      <w:r w:rsidR="00F201A9">
        <w:t>leads to simpler</w:t>
      </w:r>
      <w:r>
        <w:t xml:space="preserve"> specification. Thus, we propose the following. </w:t>
      </w:r>
    </w:p>
    <w:p w14:paraId="3C7CDF44" w14:textId="77777777" w:rsidR="003E219F" w:rsidRDefault="003E219F" w:rsidP="008917C4">
      <w:pPr>
        <w:jc w:val="both"/>
      </w:pPr>
    </w:p>
    <w:p w14:paraId="1D8E17E2" w14:textId="77777777" w:rsidR="005D6101" w:rsidRPr="00F84D67" w:rsidRDefault="005D6101" w:rsidP="005D6101">
      <w:pPr>
        <w:rPr>
          <w:bCs/>
          <w:color w:val="000000"/>
          <w:szCs w:val="20"/>
          <w:lang w:eastAsia="ja-JP"/>
        </w:rPr>
      </w:pPr>
      <w:r w:rsidRPr="00742826">
        <w:rPr>
          <w:b/>
          <w:u w:val="single"/>
        </w:rPr>
        <w:t xml:space="preserve">Proposal </w:t>
      </w:r>
      <w:r w:rsidR="003E219F">
        <w:rPr>
          <w:b/>
          <w:u w:val="single"/>
        </w:rPr>
        <w:t>2:</w:t>
      </w:r>
      <w:r w:rsidRPr="00742826">
        <w:rPr>
          <w:b/>
          <w:u w:val="single"/>
        </w:rPr>
        <w:t xml:space="preserve"> </w:t>
      </w:r>
      <w:r>
        <w:t xml:space="preserve"> </w:t>
      </w:r>
      <w:r>
        <w:rPr>
          <w:b/>
          <w:bCs/>
          <w:color w:val="000000"/>
          <w:szCs w:val="20"/>
          <w:lang w:eastAsia="ja-JP"/>
        </w:rPr>
        <w:t>Propose to adopt Alt 1 for case 1-2 and case 2 scheduling when lower SCS PDCCH schedules a higher SCS PDSCH.</w:t>
      </w:r>
    </w:p>
    <w:p w14:paraId="6F370D52" w14:textId="77777777" w:rsidR="005D6101" w:rsidRDefault="005D6101" w:rsidP="008917C4">
      <w:pPr>
        <w:jc w:val="both"/>
      </w:pPr>
    </w:p>
    <w:p w14:paraId="2E06E2EC" w14:textId="77777777" w:rsidR="005D6101" w:rsidRDefault="00F201A9" w:rsidP="008917C4">
      <w:pPr>
        <w:jc w:val="both"/>
      </w:pPr>
      <w:r>
        <w:t xml:space="preserve">For scheduling higher SCS PDCCH to a lower SCS PDSCH, the same solution as Rel-15 without modifications should be enough. Perhaps to simplify processing time constraints (N1 detemination) for Type B PDSCH allocations where additional margins are given for the case when  PDCCH and PDSCH overlap, it may be preferable if in this case, such additional margins are avoided by allowing Type B PDSCH to start after the corresponding PDCCH. </w:t>
      </w:r>
    </w:p>
    <w:p w14:paraId="593C535F" w14:textId="77777777" w:rsidR="008917C4" w:rsidRDefault="008917C4" w:rsidP="008917C4"/>
    <w:p w14:paraId="00B10DAC" w14:textId="77777777" w:rsidR="00F201A9" w:rsidRDefault="00F201A9" w:rsidP="00F201A9">
      <w:pPr>
        <w:rPr>
          <w:b/>
          <w:bCs/>
          <w:color w:val="000000"/>
          <w:szCs w:val="20"/>
          <w:lang w:eastAsia="ja-JP"/>
        </w:rPr>
      </w:pPr>
      <w:r w:rsidRPr="00742826">
        <w:rPr>
          <w:b/>
          <w:u w:val="single"/>
        </w:rPr>
        <w:t xml:space="preserve">Proposal </w:t>
      </w:r>
      <w:r>
        <w:rPr>
          <w:b/>
          <w:u w:val="single"/>
        </w:rPr>
        <w:t>3:</w:t>
      </w:r>
      <w:r w:rsidRPr="00742826">
        <w:rPr>
          <w:b/>
          <w:u w:val="single"/>
        </w:rPr>
        <w:t xml:space="preserve"> </w:t>
      </w:r>
      <w:r>
        <w:t xml:space="preserve"> </w:t>
      </w:r>
      <w:r>
        <w:rPr>
          <w:b/>
          <w:bCs/>
          <w:color w:val="000000"/>
          <w:szCs w:val="20"/>
          <w:lang w:eastAsia="ja-JP"/>
        </w:rPr>
        <w:t xml:space="preserve">For scheduling from higher SCS PDCCH to a lower SCS PDSCH, reuse Rel-15 solution </w:t>
      </w:r>
      <w:r w:rsidR="00185FE3">
        <w:rPr>
          <w:b/>
          <w:bCs/>
          <w:color w:val="000000"/>
          <w:szCs w:val="20"/>
          <w:lang w:eastAsia="ja-JP"/>
        </w:rPr>
        <w:t>and apply</w:t>
      </w:r>
      <w:r>
        <w:rPr>
          <w:b/>
          <w:bCs/>
          <w:color w:val="000000"/>
          <w:szCs w:val="20"/>
          <w:lang w:eastAsia="ja-JP"/>
        </w:rPr>
        <w:t xml:space="preserve"> constraint that Type B PDSCH starts after PDCCH scheduling it. </w:t>
      </w:r>
    </w:p>
    <w:p w14:paraId="2366306A" w14:textId="77777777" w:rsidR="00F201A9" w:rsidRPr="00F84D67" w:rsidRDefault="00F201A9" w:rsidP="00F201A9">
      <w:pPr>
        <w:rPr>
          <w:bCs/>
          <w:color w:val="000000"/>
          <w:szCs w:val="20"/>
          <w:lang w:eastAsia="ja-JP"/>
        </w:rPr>
      </w:pPr>
    </w:p>
    <w:p w14:paraId="225C1D70" w14:textId="77777777" w:rsidR="00F201A9" w:rsidRDefault="00F201A9" w:rsidP="008917C4"/>
    <w:p w14:paraId="42E2293E" w14:textId="77777777" w:rsidR="008917C4" w:rsidRPr="00BB500B" w:rsidRDefault="008917C4" w:rsidP="008917C4">
      <w:pPr>
        <w:pStyle w:val="BodyText"/>
        <w:rPr>
          <w:rFonts w:ascii="Helvetica" w:hAnsi="Helvetica" w:cs="Helvetica"/>
          <w:b/>
          <w:u w:val="single"/>
        </w:rPr>
      </w:pPr>
      <w:r>
        <w:rPr>
          <w:rFonts w:ascii="Helvetica" w:hAnsi="Helvetica" w:cs="Helvetica"/>
          <w:b/>
          <w:u w:val="single"/>
        </w:rPr>
        <w:t xml:space="preserve">2.2 </w:t>
      </w:r>
      <w:r w:rsidRPr="00BB500B">
        <w:rPr>
          <w:rFonts w:ascii="Helvetica" w:hAnsi="Helvetica" w:cs="Helvetica"/>
          <w:b/>
          <w:u w:val="single"/>
        </w:rPr>
        <w:t>QCL aspect</w:t>
      </w:r>
    </w:p>
    <w:p w14:paraId="7954FFA8" w14:textId="1616FB46" w:rsidR="008917C4" w:rsidRDefault="008917C4" w:rsidP="008917C4">
      <w:pPr>
        <w:pStyle w:val="BodyText"/>
      </w:pPr>
      <w:r>
        <w:t xml:space="preserve">Regarding QCL aspect of cross-carrier scheduling, the following alternatives </w:t>
      </w:r>
      <w:r w:rsidR="002C0956">
        <w:t xml:space="preserve">are being </w:t>
      </w:r>
      <w:r>
        <w:t xml:space="preserve">discussed. </w:t>
      </w:r>
    </w:p>
    <w:p w14:paraId="4CE0C72B" w14:textId="77777777" w:rsidR="002C0956" w:rsidRPr="004D0BA0" w:rsidRDefault="002C0956" w:rsidP="002C0956">
      <w:pPr>
        <w:pStyle w:val="BodyText"/>
        <w:rPr>
          <w:i/>
          <w:sz w:val="18"/>
          <w:lang w:val="en-GB"/>
        </w:rPr>
      </w:pPr>
      <w:r w:rsidRPr="004D0BA0">
        <w:rPr>
          <w:i/>
          <w:sz w:val="18"/>
          <w:lang w:val="en-GB"/>
        </w:rPr>
        <w:t xml:space="preserve">For cross carrier scheduling, if the scheduling timing offset is smaller than the threshold, or if Tci-PresentInDCI is not enabled for DCI format 1_1, the default </w:t>
      </w:r>
      <w:r w:rsidRPr="004D0BA0">
        <w:rPr>
          <w:b/>
          <w:i/>
          <w:sz w:val="18"/>
          <w:lang w:val="en-GB"/>
        </w:rPr>
        <w:t>QCL assumption for PDSCH based on the active TCI state with the lowest ID applicable to PDSCH in the active BWP of the scheduled cell.</w:t>
      </w:r>
    </w:p>
    <w:p w14:paraId="66458F44" w14:textId="77777777" w:rsidR="002C0956" w:rsidRPr="004D0BA0" w:rsidRDefault="002C0956" w:rsidP="002C0956">
      <w:pPr>
        <w:pStyle w:val="BodyText"/>
        <w:rPr>
          <w:i/>
          <w:sz w:val="18"/>
        </w:rPr>
      </w:pPr>
      <w:r w:rsidRPr="004D0BA0">
        <w:rPr>
          <w:i/>
          <w:sz w:val="18"/>
        </w:rPr>
        <w:t>[12]</w:t>
      </w:r>
      <w:r w:rsidRPr="004D0BA0">
        <w:rPr>
          <w:i/>
          <w:sz w:val="18"/>
        </w:rPr>
        <w:tab/>
        <w:t xml:space="preserve">For cross-carrier scheduling, </w:t>
      </w:r>
      <w:r w:rsidRPr="004D0BA0">
        <w:rPr>
          <w:b/>
          <w:i/>
          <w:sz w:val="18"/>
        </w:rPr>
        <w:t>an explicit TCI-state is configured for QCL assumption</w:t>
      </w:r>
      <w:r w:rsidRPr="004D0BA0">
        <w:rPr>
          <w:i/>
          <w:sz w:val="18"/>
        </w:rPr>
        <w:t xml:space="preserve"> for PDSCH reception when the PDSCH scheduling timing offset is smaller than delta_offset threshold.</w:t>
      </w:r>
    </w:p>
    <w:p w14:paraId="15960AF5" w14:textId="77777777" w:rsidR="002C0956" w:rsidRPr="004D0BA0" w:rsidRDefault="002C0956" w:rsidP="002C0956">
      <w:pPr>
        <w:pStyle w:val="BodyText"/>
        <w:rPr>
          <w:b/>
          <w:i/>
          <w:sz w:val="18"/>
          <w:lang w:val="en-GB"/>
        </w:rPr>
      </w:pPr>
      <w:r w:rsidRPr="004D0BA0">
        <w:rPr>
          <w:i/>
          <w:sz w:val="18"/>
          <w:lang w:val="en-GB"/>
        </w:rPr>
        <w:t xml:space="preserve">[14]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w:t>
      </w:r>
      <w:r w:rsidRPr="004D0BA0">
        <w:rPr>
          <w:b/>
          <w:i/>
          <w:sz w:val="18"/>
          <w:lang w:val="en-GB"/>
        </w:rPr>
        <w:t>TCI state associated with the dummy CORESET</w:t>
      </w:r>
    </w:p>
    <w:p w14:paraId="382F1805" w14:textId="77777777" w:rsidR="002C0956" w:rsidRPr="004D0BA0" w:rsidRDefault="002C0956" w:rsidP="002C0956">
      <w:pPr>
        <w:pStyle w:val="BodyText"/>
        <w:rPr>
          <w:i/>
          <w:sz w:val="18"/>
          <w:lang w:val="en-GB"/>
        </w:rPr>
      </w:pPr>
      <w:r w:rsidRPr="004D0BA0">
        <w:rPr>
          <w:b/>
          <w:i/>
          <w:sz w:val="18"/>
          <w:lang w:val="en-GB"/>
        </w:rPr>
        <w:t xml:space="preserve">FL observation: </w:t>
      </w:r>
      <w:r w:rsidRPr="004D0BA0">
        <w:rPr>
          <w:i/>
          <w:sz w:val="18"/>
          <w:lang w:val="en-GB"/>
        </w:rPr>
        <w:t>Dummy CORESET configured explitely for the purpose of QCL assumption derivation can be understood as an explicit TCI-state configured for QCL assumption for the PDSCH reception</w:t>
      </w:r>
    </w:p>
    <w:p w14:paraId="01B94872" w14:textId="77777777" w:rsidR="002C0956" w:rsidRPr="004D0BA0" w:rsidRDefault="002C0956" w:rsidP="002C0956">
      <w:pPr>
        <w:pStyle w:val="BodyText"/>
        <w:rPr>
          <w:b/>
          <w:i/>
          <w:sz w:val="18"/>
          <w:lang w:val="en-GB"/>
        </w:rPr>
      </w:pPr>
      <w:r w:rsidRPr="004D0BA0">
        <w:rPr>
          <w:b/>
          <w:i/>
          <w:sz w:val="18"/>
          <w:lang w:val="en-GB"/>
        </w:rPr>
        <w:t>FL proposal: Adopt one of the two alternatives for cross-CC scheduling if the scheduling timing offset is smaller than the threshold, or if Tci-PresentInDCI is not enabled for DCI format 1_1</w:t>
      </w:r>
    </w:p>
    <w:p w14:paraId="3C1CDB9C" w14:textId="77777777" w:rsidR="002C0956" w:rsidRPr="004D0BA0" w:rsidRDefault="002C0956" w:rsidP="002C0956">
      <w:pPr>
        <w:pStyle w:val="BodyText"/>
        <w:rPr>
          <w:i/>
          <w:sz w:val="18"/>
          <w:lang w:val="en-GB"/>
        </w:rPr>
      </w:pPr>
      <w:r w:rsidRPr="004D0BA0">
        <w:rPr>
          <w:i/>
          <w:sz w:val="18"/>
          <w:lang w:val="en-GB"/>
        </w:rPr>
        <w:t>Alt1: QCL assumption for the scheduled PDSCH is based on the TCI state with the lowest ID applicable to PDSCH in the active BWP of the scheduled cell.</w:t>
      </w:r>
    </w:p>
    <w:p w14:paraId="3A21D13B" w14:textId="77777777" w:rsidR="002C0956" w:rsidRPr="004D0BA0" w:rsidRDefault="002C0956" w:rsidP="002C0956">
      <w:pPr>
        <w:pStyle w:val="BodyText"/>
        <w:rPr>
          <w:i/>
          <w:sz w:val="18"/>
          <w:lang w:val="en-GB"/>
        </w:rPr>
      </w:pPr>
      <w:r w:rsidRPr="004D0BA0">
        <w:rPr>
          <w:i/>
          <w:sz w:val="18"/>
          <w:lang w:val="en-GB"/>
        </w:rPr>
        <w:t>Alt2: QCL assumption for the scheduled PDSCH is based on a TCI-state explicitely configured for this purpose</w:t>
      </w:r>
    </w:p>
    <w:p w14:paraId="159624A7" w14:textId="77777777" w:rsidR="008917C4" w:rsidRDefault="008917C4" w:rsidP="008917C4">
      <w:pPr>
        <w:pStyle w:val="BodyText"/>
      </w:pPr>
    </w:p>
    <w:p w14:paraId="3C08DC61" w14:textId="79890C01" w:rsidR="008917C4" w:rsidRDefault="00DE5EED" w:rsidP="008917C4">
      <w:pPr>
        <w:pStyle w:val="BodyText"/>
      </w:pPr>
      <w:r>
        <w:t>R</w:t>
      </w:r>
      <w:r w:rsidR="008917C4">
        <w:t xml:space="preserve">ather than not allowing scheduling timing offset smaller than the delta_offset threshold, it is preferable to have a rule defined that UE can use to determine QCL if the PDSCH is too close to the DL assignment. </w:t>
      </w:r>
    </w:p>
    <w:p w14:paraId="3AFB5A8B" w14:textId="6EAC13C9" w:rsidR="00CF10E2" w:rsidRDefault="00CF10E2" w:rsidP="008917C4">
      <w:pPr>
        <w:pStyle w:val="BodyText"/>
      </w:pPr>
      <w:r>
        <w:t xml:space="preserve">Using dummy coreset explicitly configured for TCI state determination can increase RRC </w:t>
      </w:r>
      <w:r w:rsidRPr="00CF10E2">
        <w:t xml:space="preserve">overhead </w:t>
      </w:r>
      <w:r>
        <w:t xml:space="preserve">and such additional configuration may not be necessary simply to indicate an active TCI state for UE to assume. Using the TCI state with lowest ID would also not increase flexibility since the NW cannot point </w:t>
      </w:r>
      <w:r w:rsidR="000E4944">
        <w:t xml:space="preserve">to </w:t>
      </w:r>
      <w:r>
        <w:t>an activated TCI state for the UE to use. The RRC based solution can work but given most of the TCI state</w:t>
      </w:r>
      <w:r w:rsidR="000E4944">
        <w:t>s</w:t>
      </w:r>
      <w:r>
        <w:t xml:space="preserve"> </w:t>
      </w:r>
      <w:r w:rsidR="000E4944">
        <w:t>are</w:t>
      </w:r>
      <w:r>
        <w:t xml:space="preserve"> controlled based on MAC CE based activation/deactivation, a simpler option would be to also use MAC CE based indication for the current case as well. </w:t>
      </w:r>
    </w:p>
    <w:p w14:paraId="57CD5026" w14:textId="7AD21D97" w:rsidR="008917C4" w:rsidRDefault="00CF10E2" w:rsidP="008917C4">
      <w:pPr>
        <w:pStyle w:val="BodyText"/>
      </w:pPr>
      <w:r w:rsidRPr="00CF10E2">
        <w:t>MAC</w:t>
      </w:r>
      <w:r>
        <w:t xml:space="preserve"> CE “</w:t>
      </w:r>
      <w:r w:rsidRPr="00CF10E2">
        <w:t>TCI state indication for UE-specific PDCCH MAC CE”</w:t>
      </w:r>
      <w:r>
        <w:t xml:space="preserve"> can be reused for this purpose. </w:t>
      </w:r>
      <w:r w:rsidRPr="00CF10E2">
        <w:t xml:space="preserve">If the serving cell ID in the MAC message indicates the ID of </w:t>
      </w:r>
      <w:r w:rsidR="000E4944">
        <w:t xml:space="preserve">a </w:t>
      </w:r>
      <w:r w:rsidRPr="00CF10E2">
        <w:t xml:space="preserve">serving cell </w:t>
      </w:r>
      <w:r>
        <w:t>that is cross-carrier scheduled by another cell</w:t>
      </w:r>
      <w:r w:rsidRPr="00CF10E2">
        <w:t xml:space="preserve">, then the UE can ignore the CORESET ID </w:t>
      </w:r>
      <w:r>
        <w:t xml:space="preserve">and apply the indicated TCI state </w:t>
      </w:r>
      <w:r w:rsidR="00E06750" w:rsidRPr="00E06750">
        <w:t>for PDSCH reception when the PDSCH scheduling timing offset is smaller than delta_offset threshold.</w:t>
      </w:r>
    </w:p>
    <w:p w14:paraId="7A88B0D8" w14:textId="69C62CAE" w:rsidR="008917C4" w:rsidRDefault="008917C4" w:rsidP="008917C4">
      <w:pPr>
        <w:jc w:val="both"/>
        <w:rPr>
          <w:b/>
          <w:u w:val="single"/>
        </w:rPr>
      </w:pPr>
      <w:r w:rsidRPr="00DC4044">
        <w:rPr>
          <w:b/>
          <w:u w:val="single"/>
        </w:rPr>
        <w:t xml:space="preserve">Proposal </w:t>
      </w:r>
      <w:r w:rsidR="00991C14">
        <w:rPr>
          <w:b/>
          <w:u w:val="single"/>
        </w:rPr>
        <w:t>4</w:t>
      </w:r>
    </w:p>
    <w:p w14:paraId="68F55603" w14:textId="77777777" w:rsidR="008917C4" w:rsidRDefault="008917C4" w:rsidP="008917C4">
      <w:pPr>
        <w:jc w:val="both"/>
        <w:rPr>
          <w:b/>
          <w:u w:val="single"/>
        </w:rPr>
      </w:pPr>
    </w:p>
    <w:p w14:paraId="26F1A18F" w14:textId="7913A8B4" w:rsidR="008917C4" w:rsidRPr="00961AE7" w:rsidRDefault="00E06750" w:rsidP="00961AE7">
      <w:pPr>
        <w:jc w:val="both"/>
        <w:rPr>
          <w:b/>
        </w:rPr>
      </w:pPr>
      <w:r w:rsidRPr="00961AE7">
        <w:rPr>
          <w:b/>
        </w:rPr>
        <w:t xml:space="preserve">When the serving cell ID in the MAC message ‘TCI state indication for UE-specific PDCCH MAC CE’ indicates </w:t>
      </w:r>
      <w:r w:rsidR="00943D1A">
        <w:rPr>
          <w:b/>
        </w:rPr>
        <w:t>the</w:t>
      </w:r>
      <w:r w:rsidRPr="00961AE7">
        <w:rPr>
          <w:b/>
        </w:rPr>
        <w:t xml:space="preserve"> ID of a serving cell that is cross-carrier scheduled by another cell,  the TCI state indicated in the MAC CE is used for PDSCH reception when the PDSCH scheduling timing offset is smaller than delta_offset threshold.</w:t>
      </w:r>
    </w:p>
    <w:p w14:paraId="1ECFB714" w14:textId="77777777" w:rsidR="008917C4" w:rsidRDefault="008917C4" w:rsidP="008917C4">
      <w:pPr>
        <w:pStyle w:val="BodyText"/>
        <w:rPr>
          <w:rFonts w:ascii="Helvetica" w:hAnsi="Helvetica" w:cs="Helvetica"/>
          <w:b/>
          <w:u w:val="single"/>
        </w:rPr>
      </w:pPr>
    </w:p>
    <w:p w14:paraId="21AF42B9" w14:textId="05B27103" w:rsidR="008917C4" w:rsidRPr="00BB500B" w:rsidRDefault="008917C4" w:rsidP="008917C4">
      <w:pPr>
        <w:pStyle w:val="BodyText"/>
        <w:rPr>
          <w:rFonts w:ascii="Helvetica" w:hAnsi="Helvetica" w:cs="Helvetica"/>
          <w:b/>
          <w:u w:val="single"/>
        </w:rPr>
      </w:pPr>
      <w:r>
        <w:rPr>
          <w:rFonts w:ascii="Helvetica" w:hAnsi="Helvetica" w:cs="Helvetica"/>
          <w:b/>
          <w:u w:val="single"/>
        </w:rPr>
        <w:lastRenderedPageBreak/>
        <w:t xml:space="preserve">2.3 </w:t>
      </w:r>
      <w:r w:rsidR="00991C14">
        <w:rPr>
          <w:rFonts w:ascii="Helvetica" w:hAnsi="Helvetica" w:cs="Helvetica"/>
          <w:b/>
          <w:u w:val="single"/>
        </w:rPr>
        <w:t>Support for contiguous data transmissions</w:t>
      </w:r>
    </w:p>
    <w:p w14:paraId="5B9F7F7C" w14:textId="77777777" w:rsidR="00991C14" w:rsidRDefault="00991C14" w:rsidP="008917C4">
      <w:pPr>
        <w:pStyle w:val="BodyText"/>
      </w:pPr>
      <w:r>
        <w:t>Multiple options were discussed in last meeting’s offline discussions.</w:t>
      </w:r>
    </w:p>
    <w:p w14:paraId="10EA8E71" w14:textId="77777777" w:rsidR="00991C14" w:rsidRDefault="00991C14" w:rsidP="00991C14">
      <w:pPr>
        <w:numPr>
          <w:ilvl w:val="0"/>
          <w:numId w:val="8"/>
        </w:numPr>
        <w:overflowPunct w:val="0"/>
        <w:autoSpaceDE w:val="0"/>
        <w:autoSpaceDN w:val="0"/>
        <w:adjustRightInd w:val="0"/>
        <w:textAlignment w:val="baseline"/>
      </w:pPr>
      <w:r>
        <w:rPr>
          <w:b/>
          <w:bCs/>
        </w:rPr>
        <w:t>Alt 1</w:t>
      </w:r>
      <w:r>
        <w:rPr>
          <w:bCs/>
        </w:rPr>
        <w:t xml:space="preserve">: Single-slot scheduling with increased number of </w:t>
      </w:r>
      <w:r>
        <w:t>valid unicast DCIs per PDCCH monitoring occasion</w:t>
      </w:r>
    </w:p>
    <w:p w14:paraId="11674917" w14:textId="77777777" w:rsidR="00991C14" w:rsidRDefault="00991C14" w:rsidP="00991C14">
      <w:pPr>
        <w:numPr>
          <w:ilvl w:val="1"/>
          <w:numId w:val="9"/>
        </w:numPr>
        <w:overflowPunct w:val="0"/>
        <w:autoSpaceDE w:val="0"/>
        <w:autoSpaceDN w:val="0"/>
        <w:adjustRightInd w:val="0"/>
        <w:textAlignment w:val="baseline"/>
        <w:rPr>
          <w:i/>
        </w:rPr>
      </w:pPr>
      <w:r>
        <w:t>FFS: number of valid DCIs</w:t>
      </w:r>
    </w:p>
    <w:p w14:paraId="426BA822" w14:textId="77777777" w:rsidR="00991C14" w:rsidRDefault="00991C14" w:rsidP="00991C14">
      <w:pPr>
        <w:pStyle w:val="ListParagraph"/>
        <w:numPr>
          <w:ilvl w:val="0"/>
          <w:numId w:val="9"/>
        </w:numPr>
        <w:rPr>
          <w:szCs w:val="20"/>
        </w:rPr>
      </w:pPr>
      <w:r>
        <w:rPr>
          <w:b/>
          <w:bCs/>
          <w:szCs w:val="20"/>
        </w:rPr>
        <w:t>Alt 2</w:t>
      </w:r>
      <w:r>
        <w:rPr>
          <w:bCs/>
          <w:szCs w:val="20"/>
        </w:rPr>
        <w:t>: Single-slot scheduling and capability FG 3-5/3-5b</w:t>
      </w:r>
    </w:p>
    <w:p w14:paraId="371E03B5" w14:textId="77777777" w:rsidR="00991C14" w:rsidRDefault="00991C14" w:rsidP="00991C14">
      <w:pPr>
        <w:pStyle w:val="ListParagraph"/>
        <w:numPr>
          <w:ilvl w:val="1"/>
          <w:numId w:val="9"/>
        </w:numPr>
        <w:rPr>
          <w:i/>
          <w:szCs w:val="20"/>
        </w:rPr>
      </w:pPr>
      <w:r>
        <w:rPr>
          <w:szCs w:val="20"/>
        </w:rPr>
        <w:t>Note: When deriving the number of scheduling opportunities based on the number of slots in the scheduled cell overlapping one scheduling cell slot.</w:t>
      </w:r>
    </w:p>
    <w:p w14:paraId="15810B0D" w14:textId="77777777" w:rsidR="00991C14" w:rsidRDefault="00991C14" w:rsidP="00991C14">
      <w:pPr>
        <w:numPr>
          <w:ilvl w:val="0"/>
          <w:numId w:val="8"/>
        </w:numPr>
        <w:overflowPunct w:val="0"/>
        <w:autoSpaceDE w:val="0"/>
        <w:autoSpaceDN w:val="0"/>
        <w:adjustRightInd w:val="0"/>
        <w:textAlignment w:val="baseline"/>
      </w:pPr>
      <w:r>
        <w:rPr>
          <w:b/>
          <w:bCs/>
        </w:rPr>
        <w:t>Alt 3</w:t>
      </w:r>
      <w:r>
        <w:rPr>
          <w:bCs/>
        </w:rPr>
        <w:t xml:space="preserve">: Multi-slot scheduling with different TB per slot  </w:t>
      </w:r>
    </w:p>
    <w:p w14:paraId="1291B277" w14:textId="77777777" w:rsidR="00991C14" w:rsidRDefault="00991C14" w:rsidP="00991C14">
      <w:pPr>
        <w:numPr>
          <w:ilvl w:val="0"/>
          <w:numId w:val="8"/>
        </w:numPr>
        <w:overflowPunct w:val="0"/>
        <w:autoSpaceDE w:val="0"/>
        <w:autoSpaceDN w:val="0"/>
        <w:adjustRightInd w:val="0"/>
        <w:textAlignment w:val="baseline"/>
      </w:pPr>
      <w:r>
        <w:rPr>
          <w:b/>
          <w:bCs/>
        </w:rPr>
        <w:t>Alt 4:</w:t>
      </w:r>
      <w:r>
        <w:rPr>
          <w:bCs/>
        </w:rPr>
        <w:t xml:space="preserve"> Multi-slot scheduling with one TB across multiple slots </w:t>
      </w:r>
    </w:p>
    <w:p w14:paraId="7A78304E" w14:textId="77777777" w:rsidR="00991C14" w:rsidRDefault="00991C14" w:rsidP="008917C4">
      <w:pPr>
        <w:pStyle w:val="BodyText"/>
      </w:pPr>
    </w:p>
    <w:p w14:paraId="6FE21F90" w14:textId="77777777" w:rsidR="008917C4" w:rsidRDefault="008917C4" w:rsidP="008917C4">
      <w:pPr>
        <w:pStyle w:val="BodyText"/>
      </w:pPr>
      <w:r>
        <w:t xml:space="preserve">Currently, according to UE feature list (in Rel-15), for some UE capabilities (3-5b), there is a limitation on the number of DCIs UE can process for a monitoring occasion. For CA with mixed numerology, increasing the number of valid unicast DCIs per monitoring occasion can be considered. </w:t>
      </w:r>
    </w:p>
    <w:p w14:paraId="50E1C1A3" w14:textId="29A6293A" w:rsidR="00E31B2D" w:rsidRPr="00E31B2D" w:rsidRDefault="00E31B2D" w:rsidP="008917C4">
      <w:pPr>
        <w:pStyle w:val="BodyText"/>
      </w:pPr>
      <w:r>
        <w:t xml:space="preserve">Given the cross-carrier scheduling part of the WI is aimed to </w:t>
      </w:r>
      <w:r w:rsidRPr="00AF5EA6">
        <w:rPr>
          <w:i/>
          <w:lang w:eastAsia="x-none"/>
        </w:rPr>
        <w:t>targeting completion by RAN#84</w:t>
      </w:r>
      <w:r>
        <w:rPr>
          <w:lang w:eastAsia="x-none"/>
        </w:rPr>
        <w:t xml:space="preserve">, we think the timeline should be considered </w:t>
      </w:r>
      <w:r w:rsidR="008F2AE4">
        <w:rPr>
          <w:lang w:eastAsia="x-none"/>
        </w:rPr>
        <w:t>for designing new DCI formats and also alignment with NR-U work on multi-slot multi-TB scheduling</w:t>
      </w:r>
      <w:r>
        <w:rPr>
          <w:lang w:eastAsia="x-none"/>
        </w:rPr>
        <w:t xml:space="preserve">. Since not all alternatives are mutually exclusive, it seems taking advantage of advanced UE PDCCH processing capability such as 3-5/3-5b and increased number of valid DCIs should be considered as they can be introduced without much specification effort. </w:t>
      </w:r>
    </w:p>
    <w:p w14:paraId="7FCE5A76" w14:textId="66886531" w:rsidR="008917C4" w:rsidRDefault="008917C4" w:rsidP="008917C4">
      <w:pPr>
        <w:jc w:val="both"/>
        <w:rPr>
          <w:b/>
          <w:u w:val="single"/>
        </w:rPr>
      </w:pPr>
      <w:r w:rsidRPr="00DC4044">
        <w:rPr>
          <w:b/>
          <w:u w:val="single"/>
        </w:rPr>
        <w:t xml:space="preserve">Proposal </w:t>
      </w:r>
      <w:r w:rsidR="00991C14">
        <w:rPr>
          <w:b/>
          <w:u w:val="single"/>
        </w:rPr>
        <w:t>5</w:t>
      </w:r>
    </w:p>
    <w:p w14:paraId="2A714F50" w14:textId="77777777" w:rsidR="008917C4" w:rsidRDefault="008917C4" w:rsidP="008917C4">
      <w:pPr>
        <w:jc w:val="both"/>
        <w:rPr>
          <w:b/>
          <w:u w:val="single"/>
        </w:rPr>
      </w:pPr>
    </w:p>
    <w:p w14:paraId="57FC8003" w14:textId="77777777" w:rsidR="008917C4" w:rsidRPr="00053BE3" w:rsidRDefault="008917C4" w:rsidP="00961AE7">
      <w:pPr>
        <w:pStyle w:val="BodyText"/>
        <w:rPr>
          <w:b/>
        </w:rPr>
      </w:pPr>
      <w:r w:rsidRPr="00053BE3">
        <w:rPr>
          <w:b/>
        </w:rPr>
        <w:t>For CA with mixed numerology, increas</w:t>
      </w:r>
      <w:r>
        <w:rPr>
          <w:b/>
        </w:rPr>
        <w:t>ed</w:t>
      </w:r>
      <w:r w:rsidRPr="00053BE3">
        <w:rPr>
          <w:b/>
        </w:rPr>
        <w:t xml:space="preserve"> number of valid unicast DCIs per </w:t>
      </w:r>
      <w:r>
        <w:rPr>
          <w:b/>
        </w:rPr>
        <w:t xml:space="preserve">PDCCH </w:t>
      </w:r>
      <w:r w:rsidRPr="00053BE3">
        <w:rPr>
          <w:b/>
        </w:rPr>
        <w:t xml:space="preserve">monitoring occasion </w:t>
      </w:r>
      <w:r>
        <w:rPr>
          <w:b/>
        </w:rPr>
        <w:t>can be considered</w:t>
      </w:r>
      <w:r w:rsidRPr="00053BE3">
        <w:rPr>
          <w:b/>
        </w:rPr>
        <w:t>.</w:t>
      </w:r>
    </w:p>
    <w:p w14:paraId="0CC7C5AA" w14:textId="77777777" w:rsidR="008917C4" w:rsidRDefault="008917C4" w:rsidP="008917C4">
      <w:pPr>
        <w:pStyle w:val="BodyText"/>
      </w:pPr>
    </w:p>
    <w:p w14:paraId="66F6C4AD" w14:textId="77777777" w:rsidR="00F201A9" w:rsidRPr="00BB500B" w:rsidRDefault="00F201A9" w:rsidP="00F201A9">
      <w:pPr>
        <w:pStyle w:val="BodyText"/>
        <w:rPr>
          <w:rFonts w:ascii="Helvetica" w:hAnsi="Helvetica" w:cs="Helvetica"/>
          <w:b/>
          <w:u w:val="single"/>
        </w:rPr>
      </w:pPr>
      <w:r>
        <w:rPr>
          <w:rFonts w:ascii="Helvetica" w:hAnsi="Helvetica" w:cs="Helvetica"/>
          <w:b/>
          <w:u w:val="single"/>
        </w:rPr>
        <w:t>2.4 PDCCH monitoring</w:t>
      </w:r>
      <w:r w:rsidR="00DD7395">
        <w:rPr>
          <w:rFonts w:ascii="Helvetica" w:hAnsi="Helvetica" w:cs="Helvetica"/>
          <w:b/>
          <w:u w:val="single"/>
        </w:rPr>
        <w:t xml:space="preserve"> and configuration</w:t>
      </w:r>
    </w:p>
    <w:p w14:paraId="23E40A59" w14:textId="77777777" w:rsidR="00F201A9" w:rsidRDefault="00F201A9" w:rsidP="008917C4">
      <w:pPr>
        <w:pStyle w:val="BodyText"/>
      </w:pPr>
      <w:r>
        <w:t xml:space="preserve">In last meeting, there was one issue raised on the applicability of the agreement in MR-DC WI on PDCCH monitoring </w:t>
      </w:r>
      <w:r w:rsidR="002E1D01">
        <w:t xml:space="preserve">with cross-carrier scheduling with mixed numerology. There was discussion whether this agreement applies  to all cases of cross-carrier scheduling, including the cases that were specified in Rel-15 (e.g. cross-carrier scheduling with same numerology). </w:t>
      </w:r>
    </w:p>
    <w:p w14:paraId="7E6DC894" w14:textId="77777777" w:rsidR="002E1D01" w:rsidRDefault="009D3B1C" w:rsidP="008917C4">
      <w:pPr>
        <w:pStyle w:val="BodyText"/>
      </w:pPr>
      <w:r>
        <w:t>An</w:t>
      </w:r>
      <w:r w:rsidR="002E1D01">
        <w:t xml:space="preserve"> agreement made in Rel-16 should not be retroactively applied to Rel-15 specification, which could lead to possible unnecessary confusion wrt the cross-carrier scheduling feature specified in Rel-15. It is also acknowledged that the </w:t>
      </w:r>
      <w:r w:rsidR="00FC3BA9">
        <w:t xml:space="preserve">relevant </w:t>
      </w:r>
      <w:r w:rsidR="002E1D01">
        <w:t>agreement made in Rel-16 with mixed numerology was trying to reuse the Rel-15 PDCCH BD principles (from cross-carrier scheduling between same numerology) and re-apply it to the mixed numerology case. Thus, it is more suitable to capture that the Rel-16 agreements apply for all pairs of (scheduled cell, scheduling cell) when the UE is configured with at least one case where scheduling cell with one SCS and the corresponding scheduled cell has another SCS.</w:t>
      </w:r>
      <w:r w:rsidR="00FC3BA9">
        <w:t xml:space="preserve"> </w:t>
      </w:r>
    </w:p>
    <w:p w14:paraId="54B4C436" w14:textId="77777777" w:rsidR="002E1D01" w:rsidRPr="004D0BA0" w:rsidRDefault="002E1D01" w:rsidP="008917C4">
      <w:pPr>
        <w:pStyle w:val="BodyText"/>
        <w:rPr>
          <w:b/>
          <w:u w:val="single"/>
        </w:rPr>
      </w:pPr>
      <w:r w:rsidRPr="004D0BA0">
        <w:rPr>
          <w:b/>
          <w:u w:val="single"/>
        </w:rPr>
        <w:t xml:space="preserve">Proposal </w:t>
      </w:r>
      <w:r w:rsidR="00991C14" w:rsidRPr="004D0BA0">
        <w:rPr>
          <w:b/>
          <w:u w:val="single"/>
        </w:rPr>
        <w:t>6</w:t>
      </w:r>
    </w:p>
    <w:p w14:paraId="35D81B91" w14:textId="199F01D0" w:rsidR="002E1D01" w:rsidRPr="004D0BA0" w:rsidRDefault="002E1D01" w:rsidP="008917C4">
      <w:pPr>
        <w:pStyle w:val="BodyText"/>
        <w:rPr>
          <w:b/>
        </w:rPr>
      </w:pPr>
      <w:r w:rsidRPr="004D0BA0">
        <w:rPr>
          <w:b/>
        </w:rPr>
        <w:t>PDCCH monitoring agreement (limits on BDs/CCEs) from RAN1#96 is applicable</w:t>
      </w:r>
    </w:p>
    <w:p w14:paraId="3EA65C3F" w14:textId="77777777" w:rsidR="002E1D01" w:rsidRDefault="002E1D01" w:rsidP="002E1D01">
      <w:pPr>
        <w:pStyle w:val="ListParagraph"/>
        <w:numPr>
          <w:ilvl w:val="0"/>
          <w:numId w:val="7"/>
        </w:numPr>
        <w:rPr>
          <w:b/>
          <w:szCs w:val="20"/>
        </w:rPr>
      </w:pPr>
      <w:r w:rsidRPr="004D0BA0">
        <w:rPr>
          <w:b/>
          <w:szCs w:val="20"/>
        </w:rPr>
        <w:t xml:space="preserve">When the UE is configured </w:t>
      </w:r>
      <w:r w:rsidR="00FC3BA9">
        <w:rPr>
          <w:b/>
          <w:szCs w:val="20"/>
        </w:rPr>
        <w:t>with</w:t>
      </w:r>
      <w:r w:rsidRPr="004D0BA0">
        <w:rPr>
          <w:b/>
          <w:szCs w:val="20"/>
        </w:rPr>
        <w:t xml:space="preserve"> cross-carrier </w:t>
      </w:r>
      <w:r w:rsidR="00FC3BA9">
        <w:rPr>
          <w:b/>
          <w:szCs w:val="20"/>
        </w:rPr>
        <w:t xml:space="preserve">scheduling </w:t>
      </w:r>
      <w:r w:rsidRPr="004D0BA0">
        <w:rPr>
          <w:b/>
          <w:szCs w:val="20"/>
        </w:rPr>
        <w:t xml:space="preserve">with scheduling carrier with one SCS, and at least one </w:t>
      </w:r>
      <w:r w:rsidR="00FC3BA9">
        <w:rPr>
          <w:b/>
          <w:szCs w:val="20"/>
        </w:rPr>
        <w:t xml:space="preserve">corresponding </w:t>
      </w:r>
      <w:r w:rsidRPr="004D0BA0">
        <w:rPr>
          <w:b/>
          <w:szCs w:val="20"/>
        </w:rPr>
        <w:t>scheduled carrier with another SCS</w:t>
      </w:r>
    </w:p>
    <w:p w14:paraId="0F2DBD2C" w14:textId="77777777" w:rsidR="002E1D01" w:rsidRDefault="002E1D01" w:rsidP="002E1D01">
      <w:pPr>
        <w:pStyle w:val="ListParagraph"/>
        <w:numPr>
          <w:ilvl w:val="0"/>
          <w:numId w:val="7"/>
        </w:numPr>
        <w:rPr>
          <w:b/>
          <w:szCs w:val="20"/>
        </w:rPr>
      </w:pPr>
      <w:r w:rsidRPr="004D0BA0">
        <w:rPr>
          <w:b/>
          <w:szCs w:val="20"/>
        </w:rPr>
        <w:t>In addition to case a) when the UE is also configured with anot</w:t>
      </w:r>
      <w:r>
        <w:rPr>
          <w:b/>
          <w:szCs w:val="20"/>
        </w:rPr>
        <w:t>h</w:t>
      </w:r>
      <w:r w:rsidRPr="004D0BA0">
        <w:rPr>
          <w:b/>
          <w:szCs w:val="20"/>
        </w:rPr>
        <w:t>er scheduled carrier with the same SCS as the scheduling carrier</w:t>
      </w:r>
    </w:p>
    <w:p w14:paraId="68BF041E" w14:textId="77777777" w:rsidR="00DD7395" w:rsidRDefault="00DD7395" w:rsidP="00DD7395">
      <w:pPr>
        <w:rPr>
          <w:b/>
          <w:szCs w:val="20"/>
        </w:rPr>
      </w:pPr>
    </w:p>
    <w:p w14:paraId="030DE984" w14:textId="378F68F4" w:rsidR="00E31B2D" w:rsidRPr="004D0BA0" w:rsidRDefault="00DD7395" w:rsidP="004D0BA0">
      <w:pPr>
        <w:jc w:val="both"/>
        <w:rPr>
          <w:szCs w:val="20"/>
        </w:rPr>
      </w:pPr>
      <w:r>
        <w:rPr>
          <w:szCs w:val="20"/>
        </w:rPr>
        <w:t>Regarding PDCCH configuration, it was also proposed to s</w:t>
      </w:r>
      <w:r w:rsidRPr="004D0BA0">
        <w:rPr>
          <w:szCs w:val="20"/>
        </w:rPr>
        <w:t>upport introducing a new RRC parameter to configure number of PDCCH candidates for the scheduled cell in the configured search-space sets of the scheduling cell. This parameter could also apply to cross-carrier scheduling with the same SCS.</w:t>
      </w:r>
      <w:r>
        <w:rPr>
          <w:szCs w:val="20"/>
        </w:rPr>
        <w:t xml:space="preserve"> </w:t>
      </w:r>
      <w:r w:rsidR="00176663">
        <w:rPr>
          <w:szCs w:val="20"/>
        </w:rPr>
        <w:t>T</w:t>
      </w:r>
      <w:r w:rsidR="00585A04">
        <w:rPr>
          <w:szCs w:val="20"/>
        </w:rPr>
        <w:t xml:space="preserve">his new RRC parameter </w:t>
      </w:r>
      <w:r>
        <w:rPr>
          <w:szCs w:val="20"/>
        </w:rPr>
        <w:t xml:space="preserve">can overcome the scheduling restrictions resulting from lack of such configuration in Rel-15. </w:t>
      </w:r>
      <w:r w:rsidR="00585A04">
        <w:rPr>
          <w:szCs w:val="20"/>
        </w:rPr>
        <w:t xml:space="preserve">In our view, associated UE capability signaling should also be introduced to maintain backwards compatibility when applying this to </w:t>
      </w:r>
      <w:r w:rsidR="00C15135">
        <w:rPr>
          <w:szCs w:val="20"/>
        </w:rPr>
        <w:t>Rel-15</w:t>
      </w:r>
      <w:r w:rsidR="00585A04">
        <w:rPr>
          <w:szCs w:val="20"/>
        </w:rPr>
        <w:t xml:space="preserve"> case</w:t>
      </w:r>
      <w:r w:rsidR="00C15135">
        <w:rPr>
          <w:szCs w:val="20"/>
        </w:rPr>
        <w:t>s</w:t>
      </w:r>
      <w:r w:rsidR="00585A04">
        <w:rPr>
          <w:szCs w:val="20"/>
        </w:rPr>
        <w:t xml:space="preserve"> e.g. when cross-carrier scheduling with same SCS.</w:t>
      </w:r>
    </w:p>
    <w:p w14:paraId="47C40EAC" w14:textId="77777777" w:rsidR="00DD7395" w:rsidRDefault="00DD7395" w:rsidP="00E31B2D">
      <w:pPr>
        <w:rPr>
          <w:b/>
          <w:szCs w:val="20"/>
        </w:rPr>
      </w:pPr>
    </w:p>
    <w:p w14:paraId="4773AC49" w14:textId="22B5AB42" w:rsidR="00E31B2D" w:rsidRPr="00BB500B" w:rsidRDefault="00E31B2D" w:rsidP="00E31B2D">
      <w:pPr>
        <w:pStyle w:val="BodyText"/>
        <w:rPr>
          <w:rFonts w:ascii="Helvetica" w:hAnsi="Helvetica" w:cs="Helvetica"/>
          <w:b/>
          <w:u w:val="single"/>
        </w:rPr>
      </w:pPr>
      <w:r>
        <w:rPr>
          <w:rFonts w:ascii="Helvetica" w:hAnsi="Helvetica" w:cs="Helvetica"/>
          <w:b/>
          <w:u w:val="single"/>
        </w:rPr>
        <w:t>2.</w:t>
      </w:r>
      <w:r w:rsidR="00961AE7">
        <w:rPr>
          <w:rFonts w:ascii="Helvetica" w:hAnsi="Helvetica" w:cs="Helvetica"/>
          <w:b/>
          <w:u w:val="single"/>
        </w:rPr>
        <w:t>5</w:t>
      </w:r>
      <w:r>
        <w:rPr>
          <w:rFonts w:ascii="Helvetica" w:hAnsi="Helvetica" w:cs="Helvetica"/>
          <w:b/>
          <w:u w:val="single"/>
        </w:rPr>
        <w:t xml:space="preserve"> Other topics</w:t>
      </w:r>
    </w:p>
    <w:p w14:paraId="3BA54828" w14:textId="43F26893" w:rsidR="00E31B2D" w:rsidRDefault="00E31B2D" w:rsidP="00E31B2D">
      <w:pPr>
        <w:pStyle w:val="BodyText"/>
      </w:pPr>
      <w:r>
        <w:t xml:space="preserve">Regarding other topics, it was proposed to consider using CIF for supporting PDCCH-order random access and supporting deactivation of DL SPS/UL configured grant by DCI 0_1/1_1. </w:t>
      </w:r>
      <w:r w:rsidR="007B493F">
        <w:t xml:space="preserve">Both can be considered. </w:t>
      </w:r>
      <w:r w:rsidR="007B7E79">
        <w:t>F</w:t>
      </w:r>
      <w:r w:rsidR="00BD1BFA">
        <w:t xml:space="preserve">or </w:t>
      </w:r>
      <w:r w:rsidR="007B493F">
        <w:t>PDCCH-ordered random access</w:t>
      </w:r>
      <w:r w:rsidR="00BD1BFA">
        <w:t xml:space="preserve">, since there is no CIF supported </w:t>
      </w:r>
      <w:r w:rsidR="008B7288">
        <w:t>in</w:t>
      </w:r>
      <w:bookmarkStart w:id="4" w:name="_GoBack"/>
      <w:bookmarkEnd w:id="4"/>
      <w:r w:rsidR="00BD1BFA">
        <w:t xml:space="preserve"> 1_0, it may be simpler to allow PDCCH order random </w:t>
      </w:r>
      <w:r w:rsidR="00BD1BFA">
        <w:lastRenderedPageBreak/>
        <w:t xml:space="preserve">access through DCI 1_1 (and also 0_1) which already includes the CIF field. The same information bit content as PDCCH order random access as in self-scheduling (from 1_0) is used, with an additional CIF field, and size matched to 1_1 (and 0_1). This does not require increased BDs (for supporting additional DCI size based on 1_0) and reuse the existing BDs configured for scheduling the Scell. </w:t>
      </w:r>
    </w:p>
    <w:p w14:paraId="4ECE05FD" w14:textId="77777777" w:rsidR="00E31B2D" w:rsidRPr="004D2DD3" w:rsidRDefault="00E31B2D" w:rsidP="00E31B2D">
      <w:pPr>
        <w:pStyle w:val="BodyText"/>
        <w:rPr>
          <w:b/>
          <w:u w:val="single"/>
        </w:rPr>
      </w:pPr>
      <w:r w:rsidRPr="004D2DD3">
        <w:rPr>
          <w:b/>
          <w:u w:val="single"/>
        </w:rPr>
        <w:t xml:space="preserve">Proposal </w:t>
      </w:r>
      <w:r w:rsidR="00D845B9">
        <w:rPr>
          <w:b/>
          <w:u w:val="single"/>
        </w:rPr>
        <w:t>7</w:t>
      </w:r>
    </w:p>
    <w:p w14:paraId="50C8A47C" w14:textId="77777777" w:rsidR="00E31B2D" w:rsidRPr="004D0BA0" w:rsidRDefault="00BD1BFA" w:rsidP="004D0BA0">
      <w:pPr>
        <w:rPr>
          <w:b/>
          <w:szCs w:val="20"/>
        </w:rPr>
      </w:pPr>
      <w:r w:rsidRPr="004D0BA0">
        <w:rPr>
          <w:b/>
          <w:szCs w:val="20"/>
        </w:rPr>
        <w:t xml:space="preserve">PDCCH-order Random access can be supported through DCI </w:t>
      </w:r>
      <w:r w:rsidR="00632B87" w:rsidRPr="004D0BA0">
        <w:rPr>
          <w:b/>
          <w:szCs w:val="20"/>
        </w:rPr>
        <w:t xml:space="preserve">format </w:t>
      </w:r>
      <w:r w:rsidRPr="004D0BA0">
        <w:rPr>
          <w:b/>
          <w:szCs w:val="20"/>
        </w:rPr>
        <w:t>1_1</w:t>
      </w:r>
      <w:r w:rsidR="00632B87" w:rsidRPr="004D0BA0">
        <w:rPr>
          <w:b/>
          <w:szCs w:val="20"/>
        </w:rPr>
        <w:t xml:space="preserve"> </w:t>
      </w:r>
      <w:r w:rsidRPr="004D0BA0">
        <w:rPr>
          <w:b/>
          <w:szCs w:val="20"/>
        </w:rPr>
        <w:t>and reusing same bit fields as PDCCH-ordered Random access in self-scheduling  and an additional carrier indicator field, size matched to DCI format 1_1.</w:t>
      </w:r>
    </w:p>
    <w:p w14:paraId="3C5B0044" w14:textId="77777777" w:rsidR="00E31B2D" w:rsidRPr="004D0BA0" w:rsidRDefault="00E31B2D" w:rsidP="004D0BA0">
      <w:pPr>
        <w:rPr>
          <w:b/>
          <w:szCs w:val="20"/>
        </w:rPr>
      </w:pPr>
    </w:p>
    <w:p w14:paraId="0A25F4AB" w14:textId="77777777" w:rsidR="008917C4" w:rsidRDefault="008917C4" w:rsidP="008917C4">
      <w:pPr>
        <w:pStyle w:val="Heading1"/>
        <w:tabs>
          <w:tab w:val="clear" w:pos="3544"/>
        </w:tabs>
        <w:ind w:left="567"/>
      </w:pPr>
      <w:r>
        <w:t>Conclusions</w:t>
      </w:r>
    </w:p>
    <w:p w14:paraId="6D27EDEE" w14:textId="77777777" w:rsidR="008917C4" w:rsidRDefault="008917C4" w:rsidP="008917C4">
      <w:pPr>
        <w:pStyle w:val="BodyText"/>
        <w:rPr>
          <w:lang w:val="en-AU"/>
        </w:rPr>
      </w:pPr>
      <w:r>
        <w:t xml:space="preserve">In this document, we discuss </w:t>
      </w:r>
      <w:r>
        <w:rPr>
          <w:lang w:val="en-AU"/>
        </w:rPr>
        <w:t>issues related to specification of cross-carrier scheduling with different numerologies and propose the following.</w:t>
      </w:r>
    </w:p>
    <w:p w14:paraId="5C128A7C" w14:textId="4E579442" w:rsidR="00961AE7" w:rsidRDefault="00961AE7" w:rsidP="00961AE7">
      <w:pPr>
        <w:rPr>
          <w:b/>
          <w:bCs/>
          <w:color w:val="000000"/>
          <w:szCs w:val="20"/>
          <w:lang w:eastAsia="ja-JP"/>
        </w:rPr>
      </w:pPr>
      <w:r w:rsidRPr="00742826">
        <w:rPr>
          <w:b/>
          <w:u w:val="single"/>
        </w:rPr>
        <w:t xml:space="preserve">Proposal 1 </w:t>
      </w:r>
      <w:r>
        <w:t xml:space="preserve"> </w:t>
      </w:r>
      <w:r w:rsidRPr="00282212">
        <w:rPr>
          <w:b/>
          <w:bCs/>
          <w:color w:val="000000"/>
          <w:szCs w:val="20"/>
          <w:lang w:eastAsia="ja-JP"/>
        </w:rPr>
        <w:t xml:space="preserve">Minimum values for Δ </w:t>
      </w:r>
      <w:r>
        <w:rPr>
          <w:b/>
          <w:bCs/>
          <w:color w:val="000000"/>
          <w:szCs w:val="20"/>
          <w:lang w:eastAsia="ja-JP"/>
        </w:rPr>
        <w:t xml:space="preserve">for case 1-1 </w:t>
      </w:r>
      <w:r w:rsidRPr="005D6101">
        <w:rPr>
          <w:b/>
          <w:bCs/>
          <w:color w:val="000000"/>
          <w:szCs w:val="20"/>
          <w:lang w:eastAsia="ja-JP"/>
        </w:rPr>
        <w:t>lower SCS PDCCH to higher SCS PDSCH</w:t>
      </w:r>
      <w:r>
        <w:rPr>
          <w:b/>
          <w:bCs/>
          <w:color w:val="000000"/>
          <w:szCs w:val="20"/>
          <w:lang w:eastAsia="ja-JP"/>
        </w:rPr>
        <w:t xml:space="preserve">: </w:t>
      </w:r>
      <w:r w:rsidRPr="005D6101">
        <w:rPr>
          <w:b/>
          <w:bCs/>
          <w:color w:val="000000"/>
          <w:szCs w:val="20"/>
          <w:lang w:eastAsia="ja-JP"/>
        </w:rPr>
        <w:t>15 kHz: 2 symbols, 30 kHz: 4 symbols, 60 kHz: 6 symbols</w:t>
      </w:r>
      <w:r>
        <w:rPr>
          <w:b/>
          <w:bCs/>
          <w:color w:val="000000"/>
          <w:szCs w:val="20"/>
          <w:lang w:eastAsia="ja-JP"/>
        </w:rPr>
        <w:t>.</w:t>
      </w:r>
    </w:p>
    <w:p w14:paraId="10DF8052" w14:textId="6A978128" w:rsidR="00961AE7" w:rsidRDefault="00961AE7" w:rsidP="00961AE7">
      <w:pPr>
        <w:rPr>
          <w:bCs/>
          <w:color w:val="000000"/>
          <w:szCs w:val="20"/>
          <w:lang w:eastAsia="ja-JP"/>
        </w:rPr>
      </w:pPr>
    </w:p>
    <w:p w14:paraId="0A178DF3" w14:textId="77777777" w:rsidR="00961AE7" w:rsidRPr="00F84D67" w:rsidRDefault="00961AE7" w:rsidP="00961AE7">
      <w:pPr>
        <w:rPr>
          <w:bCs/>
          <w:color w:val="000000"/>
          <w:szCs w:val="20"/>
          <w:lang w:eastAsia="ja-JP"/>
        </w:rPr>
      </w:pPr>
      <w:r w:rsidRPr="00742826">
        <w:rPr>
          <w:b/>
          <w:u w:val="single"/>
        </w:rPr>
        <w:t xml:space="preserve">Proposal </w:t>
      </w:r>
      <w:r>
        <w:rPr>
          <w:b/>
          <w:u w:val="single"/>
        </w:rPr>
        <w:t>2:</w:t>
      </w:r>
      <w:r w:rsidRPr="00742826">
        <w:rPr>
          <w:b/>
          <w:u w:val="single"/>
        </w:rPr>
        <w:t xml:space="preserve"> </w:t>
      </w:r>
      <w:r>
        <w:t xml:space="preserve"> </w:t>
      </w:r>
      <w:r>
        <w:rPr>
          <w:b/>
          <w:bCs/>
          <w:color w:val="000000"/>
          <w:szCs w:val="20"/>
          <w:lang w:eastAsia="ja-JP"/>
        </w:rPr>
        <w:t>Propose to adopt Alt 1 for case 1-2 and case 2 scheduling when lower SCS PDCCH schedules a higher SCS PDSCH.</w:t>
      </w:r>
    </w:p>
    <w:p w14:paraId="5142C8A0" w14:textId="298ACCE9" w:rsidR="00961AE7" w:rsidRDefault="00961AE7" w:rsidP="00961AE7">
      <w:pPr>
        <w:rPr>
          <w:bCs/>
          <w:color w:val="000000"/>
          <w:szCs w:val="20"/>
          <w:lang w:eastAsia="ja-JP"/>
        </w:rPr>
      </w:pPr>
    </w:p>
    <w:p w14:paraId="5B9DF86F" w14:textId="77777777" w:rsidR="00961AE7" w:rsidRDefault="00961AE7" w:rsidP="00961AE7">
      <w:pPr>
        <w:rPr>
          <w:b/>
          <w:bCs/>
          <w:color w:val="000000"/>
          <w:szCs w:val="20"/>
          <w:lang w:eastAsia="ja-JP"/>
        </w:rPr>
      </w:pPr>
      <w:r w:rsidRPr="00742826">
        <w:rPr>
          <w:b/>
          <w:u w:val="single"/>
        </w:rPr>
        <w:t xml:space="preserve">Proposal </w:t>
      </w:r>
      <w:r>
        <w:rPr>
          <w:b/>
          <w:u w:val="single"/>
        </w:rPr>
        <w:t>3:</w:t>
      </w:r>
      <w:r w:rsidRPr="00742826">
        <w:rPr>
          <w:b/>
          <w:u w:val="single"/>
        </w:rPr>
        <w:t xml:space="preserve"> </w:t>
      </w:r>
      <w:r>
        <w:t xml:space="preserve"> </w:t>
      </w:r>
      <w:r>
        <w:rPr>
          <w:b/>
          <w:bCs/>
          <w:color w:val="000000"/>
          <w:szCs w:val="20"/>
          <w:lang w:eastAsia="ja-JP"/>
        </w:rPr>
        <w:t xml:space="preserve">For scheduling from higher SCS PDCCH to a lower SCS PDSCH, reuse Rel-15 solution and apply constraint that Type B PDSCH starts after PDCCH scheduling it. </w:t>
      </w:r>
    </w:p>
    <w:p w14:paraId="4CE3D638" w14:textId="36BC09C5" w:rsidR="00961AE7" w:rsidRDefault="00961AE7" w:rsidP="00961AE7">
      <w:pPr>
        <w:rPr>
          <w:bCs/>
          <w:color w:val="000000"/>
          <w:szCs w:val="20"/>
          <w:lang w:eastAsia="ja-JP"/>
        </w:rPr>
      </w:pPr>
    </w:p>
    <w:p w14:paraId="461404C4" w14:textId="77777777" w:rsidR="00961AE7" w:rsidRDefault="00961AE7" w:rsidP="00961AE7">
      <w:pPr>
        <w:jc w:val="both"/>
        <w:rPr>
          <w:b/>
          <w:u w:val="single"/>
        </w:rPr>
      </w:pPr>
      <w:r w:rsidRPr="00DC4044">
        <w:rPr>
          <w:b/>
          <w:u w:val="single"/>
        </w:rPr>
        <w:t xml:space="preserve">Proposal </w:t>
      </w:r>
      <w:r>
        <w:rPr>
          <w:b/>
          <w:u w:val="single"/>
        </w:rPr>
        <w:t>4</w:t>
      </w:r>
    </w:p>
    <w:p w14:paraId="0907A268" w14:textId="77777777" w:rsidR="00961AE7" w:rsidRDefault="00961AE7" w:rsidP="00961AE7">
      <w:pPr>
        <w:jc w:val="both"/>
        <w:rPr>
          <w:b/>
          <w:u w:val="single"/>
        </w:rPr>
      </w:pPr>
    </w:p>
    <w:p w14:paraId="66CF9F02" w14:textId="3EC2CD09" w:rsidR="00961AE7" w:rsidRDefault="00961AE7" w:rsidP="00961AE7">
      <w:pPr>
        <w:rPr>
          <w:b/>
        </w:rPr>
      </w:pPr>
      <w:r>
        <w:rPr>
          <w:b/>
        </w:rPr>
        <w:t>When</w:t>
      </w:r>
      <w:r w:rsidRPr="00E06750">
        <w:rPr>
          <w:b/>
        </w:rPr>
        <w:t xml:space="preserve"> the serving cell ID in the MAC message </w:t>
      </w:r>
      <w:r>
        <w:rPr>
          <w:b/>
        </w:rPr>
        <w:t>‘</w:t>
      </w:r>
      <w:r w:rsidRPr="004D2DD3">
        <w:rPr>
          <w:b/>
        </w:rPr>
        <w:t>TCI state indication for UE-specific PDCCH MAC CE</w:t>
      </w:r>
      <w:r>
        <w:rPr>
          <w:b/>
        </w:rPr>
        <w:t xml:space="preserve">’ </w:t>
      </w:r>
      <w:r w:rsidRPr="00E06750">
        <w:rPr>
          <w:b/>
        </w:rPr>
        <w:t xml:space="preserve">indicates </w:t>
      </w:r>
      <w:r>
        <w:rPr>
          <w:b/>
        </w:rPr>
        <w:t>a</w:t>
      </w:r>
      <w:r w:rsidRPr="00E06750">
        <w:rPr>
          <w:b/>
        </w:rPr>
        <w:t xml:space="preserve"> serving cell</w:t>
      </w:r>
      <w:r>
        <w:rPr>
          <w:b/>
        </w:rPr>
        <w:t xml:space="preserve"> ID</w:t>
      </w:r>
      <w:r w:rsidRPr="00E06750">
        <w:rPr>
          <w:b/>
        </w:rPr>
        <w:t xml:space="preserve"> </w:t>
      </w:r>
      <w:r>
        <w:rPr>
          <w:b/>
        </w:rPr>
        <w:t xml:space="preserve">of a serving cell </w:t>
      </w:r>
      <w:r w:rsidRPr="00E06750">
        <w:rPr>
          <w:b/>
        </w:rPr>
        <w:t xml:space="preserve">that is cross-carrier scheduled by another cell, </w:t>
      </w:r>
      <w:r>
        <w:rPr>
          <w:b/>
        </w:rPr>
        <w:t xml:space="preserve"> the TCI state indicated in the MAC CE is used </w:t>
      </w:r>
      <w:r w:rsidRPr="00E06750">
        <w:rPr>
          <w:b/>
        </w:rPr>
        <w:t>for PDSCH reception when the PDSCH scheduling timing offset is smaller than delta_offset threshold.</w:t>
      </w:r>
    </w:p>
    <w:p w14:paraId="5240B805" w14:textId="7853282F" w:rsidR="00961AE7" w:rsidRDefault="00961AE7" w:rsidP="00961AE7">
      <w:pPr>
        <w:rPr>
          <w:bCs/>
          <w:color w:val="000000"/>
          <w:szCs w:val="20"/>
          <w:lang w:eastAsia="ja-JP"/>
        </w:rPr>
      </w:pPr>
    </w:p>
    <w:p w14:paraId="21B13282" w14:textId="77777777" w:rsidR="00961AE7" w:rsidRDefault="00961AE7" w:rsidP="00961AE7">
      <w:pPr>
        <w:jc w:val="both"/>
        <w:rPr>
          <w:b/>
          <w:u w:val="single"/>
        </w:rPr>
      </w:pPr>
      <w:r w:rsidRPr="00DC4044">
        <w:rPr>
          <w:b/>
          <w:u w:val="single"/>
        </w:rPr>
        <w:t xml:space="preserve">Proposal </w:t>
      </w:r>
      <w:r>
        <w:rPr>
          <w:b/>
          <w:u w:val="single"/>
        </w:rPr>
        <w:t>5</w:t>
      </w:r>
    </w:p>
    <w:p w14:paraId="25EB7434" w14:textId="77777777" w:rsidR="00961AE7" w:rsidRDefault="00961AE7" w:rsidP="00961AE7">
      <w:pPr>
        <w:jc w:val="both"/>
        <w:rPr>
          <w:b/>
          <w:u w:val="single"/>
        </w:rPr>
      </w:pPr>
    </w:p>
    <w:p w14:paraId="54D5B399" w14:textId="77777777" w:rsidR="00961AE7" w:rsidRPr="00053BE3" w:rsidRDefault="00961AE7" w:rsidP="00961AE7">
      <w:pPr>
        <w:pStyle w:val="BodyText"/>
        <w:rPr>
          <w:b/>
        </w:rPr>
      </w:pPr>
      <w:r w:rsidRPr="00053BE3">
        <w:rPr>
          <w:b/>
        </w:rPr>
        <w:t>For CA with mixed numerology, increas</w:t>
      </w:r>
      <w:r>
        <w:rPr>
          <w:b/>
        </w:rPr>
        <w:t>ed</w:t>
      </w:r>
      <w:r w:rsidRPr="00053BE3">
        <w:rPr>
          <w:b/>
        </w:rPr>
        <w:t xml:space="preserve"> number of valid unicast DCIs per </w:t>
      </w:r>
      <w:r>
        <w:rPr>
          <w:b/>
        </w:rPr>
        <w:t xml:space="preserve">PDCCH </w:t>
      </w:r>
      <w:r w:rsidRPr="00053BE3">
        <w:rPr>
          <w:b/>
        </w:rPr>
        <w:t xml:space="preserve">monitoring occasion </w:t>
      </w:r>
      <w:r>
        <w:rPr>
          <w:b/>
        </w:rPr>
        <w:t>can be considered</w:t>
      </w:r>
      <w:r w:rsidRPr="00053BE3">
        <w:rPr>
          <w:b/>
        </w:rPr>
        <w:t>.</w:t>
      </w:r>
    </w:p>
    <w:p w14:paraId="10246A83" w14:textId="77777777" w:rsidR="00961AE7" w:rsidRPr="004D0BA0" w:rsidRDefault="00961AE7" w:rsidP="00961AE7">
      <w:pPr>
        <w:pStyle w:val="BodyText"/>
        <w:rPr>
          <w:b/>
          <w:u w:val="single"/>
        </w:rPr>
      </w:pPr>
      <w:r w:rsidRPr="004D0BA0">
        <w:rPr>
          <w:b/>
          <w:u w:val="single"/>
        </w:rPr>
        <w:t>Proposal 6</w:t>
      </w:r>
    </w:p>
    <w:p w14:paraId="6016E6F3" w14:textId="77777777" w:rsidR="00961AE7" w:rsidRPr="004D0BA0" w:rsidRDefault="00961AE7" w:rsidP="00961AE7">
      <w:pPr>
        <w:pStyle w:val="BodyText"/>
        <w:rPr>
          <w:b/>
        </w:rPr>
      </w:pPr>
      <w:r w:rsidRPr="004D0BA0">
        <w:rPr>
          <w:b/>
        </w:rPr>
        <w:t>PDCCH monitoring agreement (limits on BDs/CCEs) from RAN1#96 is applicable</w:t>
      </w:r>
    </w:p>
    <w:p w14:paraId="69A6DD6E" w14:textId="77777777" w:rsidR="00961AE7" w:rsidRDefault="00961AE7" w:rsidP="00961AE7">
      <w:pPr>
        <w:pStyle w:val="ListParagraph"/>
        <w:numPr>
          <w:ilvl w:val="0"/>
          <w:numId w:val="11"/>
        </w:numPr>
        <w:rPr>
          <w:b/>
          <w:szCs w:val="20"/>
        </w:rPr>
      </w:pPr>
      <w:r w:rsidRPr="004D0BA0">
        <w:rPr>
          <w:b/>
          <w:szCs w:val="20"/>
        </w:rPr>
        <w:t xml:space="preserve">When the UE is configured </w:t>
      </w:r>
      <w:r>
        <w:rPr>
          <w:b/>
          <w:szCs w:val="20"/>
        </w:rPr>
        <w:t>with</w:t>
      </w:r>
      <w:r w:rsidRPr="004D0BA0">
        <w:rPr>
          <w:b/>
          <w:szCs w:val="20"/>
        </w:rPr>
        <w:t xml:space="preserve"> cross-carrier </w:t>
      </w:r>
      <w:r>
        <w:rPr>
          <w:b/>
          <w:szCs w:val="20"/>
        </w:rPr>
        <w:t xml:space="preserve">scheduling </w:t>
      </w:r>
      <w:r w:rsidRPr="004D0BA0">
        <w:rPr>
          <w:b/>
          <w:szCs w:val="20"/>
        </w:rPr>
        <w:t xml:space="preserve">with scheduling carrier with one SCS, and at least one </w:t>
      </w:r>
      <w:r>
        <w:rPr>
          <w:b/>
          <w:szCs w:val="20"/>
        </w:rPr>
        <w:t xml:space="preserve">corresponding </w:t>
      </w:r>
      <w:r w:rsidRPr="004D0BA0">
        <w:rPr>
          <w:b/>
          <w:szCs w:val="20"/>
        </w:rPr>
        <w:t>scheduled carrier with another SCS</w:t>
      </w:r>
    </w:p>
    <w:p w14:paraId="4189A70B" w14:textId="77777777" w:rsidR="00961AE7" w:rsidRDefault="00961AE7" w:rsidP="00961AE7">
      <w:pPr>
        <w:pStyle w:val="ListParagraph"/>
        <w:numPr>
          <w:ilvl w:val="0"/>
          <w:numId w:val="11"/>
        </w:numPr>
        <w:rPr>
          <w:b/>
          <w:szCs w:val="20"/>
        </w:rPr>
      </w:pPr>
      <w:r w:rsidRPr="004D0BA0">
        <w:rPr>
          <w:b/>
          <w:szCs w:val="20"/>
        </w:rPr>
        <w:t>In addition to case a) when the UE is also configured with anot</w:t>
      </w:r>
      <w:r>
        <w:rPr>
          <w:b/>
          <w:szCs w:val="20"/>
        </w:rPr>
        <w:t>h</w:t>
      </w:r>
      <w:r w:rsidRPr="004D0BA0">
        <w:rPr>
          <w:b/>
          <w:szCs w:val="20"/>
        </w:rPr>
        <w:t>er scheduled carrier with the same SCS as the scheduling carrier</w:t>
      </w:r>
    </w:p>
    <w:p w14:paraId="2939990C" w14:textId="5E9B7311" w:rsidR="00961AE7" w:rsidRDefault="00961AE7" w:rsidP="00961AE7">
      <w:pPr>
        <w:rPr>
          <w:bCs/>
          <w:color w:val="000000"/>
          <w:szCs w:val="20"/>
          <w:lang w:eastAsia="ja-JP"/>
        </w:rPr>
      </w:pPr>
    </w:p>
    <w:p w14:paraId="14F99EE2" w14:textId="77777777" w:rsidR="00961AE7" w:rsidRPr="004D2DD3" w:rsidRDefault="00961AE7" w:rsidP="00961AE7">
      <w:pPr>
        <w:pStyle w:val="BodyText"/>
        <w:rPr>
          <w:b/>
          <w:u w:val="single"/>
        </w:rPr>
      </w:pPr>
      <w:r w:rsidRPr="004D2DD3">
        <w:rPr>
          <w:b/>
          <w:u w:val="single"/>
        </w:rPr>
        <w:t xml:space="preserve">Proposal </w:t>
      </w:r>
      <w:r>
        <w:rPr>
          <w:b/>
          <w:u w:val="single"/>
        </w:rPr>
        <w:t>7</w:t>
      </w:r>
    </w:p>
    <w:p w14:paraId="4750F986" w14:textId="77777777" w:rsidR="00961AE7" w:rsidRPr="004D0BA0" w:rsidRDefault="00961AE7" w:rsidP="00961AE7">
      <w:pPr>
        <w:rPr>
          <w:b/>
          <w:szCs w:val="20"/>
        </w:rPr>
      </w:pPr>
      <w:r w:rsidRPr="004D0BA0">
        <w:rPr>
          <w:b/>
          <w:szCs w:val="20"/>
        </w:rPr>
        <w:t>PDCCH-order Random access can be supported through DCI format 1_1 and reusing same bit fields as PDCCH-ordered Random access in self-scheduling  and an additional carrier indicator field, size matched to DCI format 1_1.</w:t>
      </w:r>
    </w:p>
    <w:p w14:paraId="0C9A4299" w14:textId="77777777" w:rsidR="00961AE7" w:rsidRPr="00F84D67" w:rsidRDefault="00961AE7" w:rsidP="00961AE7">
      <w:pPr>
        <w:rPr>
          <w:bCs/>
          <w:color w:val="000000"/>
          <w:szCs w:val="20"/>
          <w:lang w:eastAsia="ja-JP"/>
        </w:rPr>
      </w:pPr>
    </w:p>
    <w:p w14:paraId="26941DC3" w14:textId="77777777" w:rsidR="008917C4" w:rsidRDefault="008917C4" w:rsidP="008917C4">
      <w:pPr>
        <w:pStyle w:val="Heading1"/>
        <w:tabs>
          <w:tab w:val="clear" w:pos="3544"/>
        </w:tabs>
        <w:ind w:left="567"/>
      </w:pPr>
      <w:r>
        <w:t>References</w:t>
      </w:r>
    </w:p>
    <w:p w14:paraId="1B4676F7" w14:textId="77777777" w:rsidR="008917C4" w:rsidRDefault="008917C4" w:rsidP="008917C4">
      <w:pPr>
        <w:pStyle w:val="BodyText"/>
      </w:pPr>
      <w:r w:rsidRPr="00DA3D01">
        <w:t>[1] R</w:t>
      </w:r>
      <w:r>
        <w:t>P</w:t>
      </w:r>
      <w:r w:rsidRPr="00DA3D01">
        <w:t>-18</w:t>
      </w:r>
      <w:r>
        <w:t>2076</w:t>
      </w:r>
      <w:r w:rsidRPr="00DA3D01">
        <w:t xml:space="preserve"> – “</w:t>
      </w:r>
      <w:r w:rsidRPr="003746C8">
        <w:t>WID on Multi-RAT Dual-Connectivity and Carrier Aggregation enhancements</w:t>
      </w:r>
      <w:r w:rsidRPr="00DA3D01">
        <w:t xml:space="preserve">”, </w:t>
      </w:r>
      <w:r w:rsidRPr="008E155B">
        <w:t>Ericsson, Nokia, Nokia Shanghai Bell, Huawei</w:t>
      </w:r>
      <w:r>
        <w:t xml:space="preserve">, </w:t>
      </w:r>
      <w:r w:rsidRPr="00DA3D01">
        <w:t>RAN#</w:t>
      </w:r>
      <w:r>
        <w:t>81</w:t>
      </w:r>
      <w:r w:rsidRPr="00DA3D01">
        <w:t xml:space="preserve">, </w:t>
      </w:r>
      <w:r>
        <w:t>Gold coast</w:t>
      </w:r>
      <w:r w:rsidRPr="00DA3D01">
        <w:t xml:space="preserve">, </w:t>
      </w:r>
      <w:r>
        <w:t>Australia</w:t>
      </w:r>
      <w:r w:rsidRPr="00DA3D01">
        <w:t xml:space="preserve">, </w:t>
      </w:r>
      <w:r>
        <w:t>September</w:t>
      </w:r>
      <w:r w:rsidRPr="00DA3D01">
        <w:t xml:space="preserve"> 2018.</w:t>
      </w:r>
    </w:p>
    <w:p w14:paraId="3086B2B8" w14:textId="4D92B88C" w:rsidR="00027686" w:rsidRDefault="008917C4" w:rsidP="00961AE7">
      <w:pPr>
        <w:pStyle w:val="BodyText"/>
      </w:pPr>
      <w:r>
        <w:t xml:space="preserve">[2] </w:t>
      </w:r>
      <w:r w:rsidRPr="00AA3465">
        <w:t>RP-190748</w:t>
      </w:r>
      <w:r w:rsidRPr="00AA3465">
        <w:tab/>
        <w:t>Way forward on cross-carrier scheduling scope in multi-RAT dual- connectivity and CA enhancement WID, Nokia, Nokia Shanghai Bell, Qualcomm, Ericsson, Intel</w:t>
      </w:r>
      <w:r>
        <w:t>, RAN#83, Shenzhen, China, March 2019</w:t>
      </w:r>
      <w:r w:rsidR="00961AE7">
        <w:t>.</w:t>
      </w:r>
    </w:p>
    <w:sectPr w:rsidR="0002768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8E96F" w14:textId="77777777" w:rsidR="00507EAB" w:rsidRDefault="00507EAB">
      <w:r>
        <w:separator/>
      </w:r>
    </w:p>
  </w:endnote>
  <w:endnote w:type="continuationSeparator" w:id="0">
    <w:p w14:paraId="2A09BFCF" w14:textId="77777777" w:rsidR="00507EAB" w:rsidRDefault="00507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F1BDA" w14:textId="77777777" w:rsidR="00507EAB" w:rsidRDefault="00507EAB">
      <w:r>
        <w:separator/>
      </w:r>
    </w:p>
  </w:footnote>
  <w:footnote w:type="continuationSeparator" w:id="0">
    <w:p w14:paraId="55FDD979" w14:textId="77777777" w:rsidR="00507EAB" w:rsidRDefault="00507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4B02C" w14:textId="77777777" w:rsidR="00601235" w:rsidRDefault="00507EAB" w:rsidP="0003094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13065"/>
    <w:multiLevelType w:val="multilevel"/>
    <w:tmpl w:val="0B11306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BAE51CF"/>
    <w:multiLevelType w:val="multilevel"/>
    <w:tmpl w:val="2F2B3DB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DE5EFD"/>
    <w:multiLevelType w:val="multilevel"/>
    <w:tmpl w:val="13DE5EF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2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8AD1F4F"/>
    <w:multiLevelType w:val="hybridMultilevel"/>
    <w:tmpl w:val="155E29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584254"/>
    <w:multiLevelType w:val="multilevel"/>
    <w:tmpl w:val="2958425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2B3DBA"/>
    <w:multiLevelType w:val="multilevel"/>
    <w:tmpl w:val="2F2B3DB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B735D6"/>
    <w:multiLevelType w:val="multilevel"/>
    <w:tmpl w:val="3AB735D6"/>
    <w:lvl w:ilvl="0">
      <w:start w:val="12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7EF607C8"/>
    <w:multiLevelType w:val="multilevel"/>
    <w:tmpl w:val="2F2B3DB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3"/>
  </w:num>
  <w:num w:numId="4">
    <w:abstractNumId w:val="8"/>
  </w:num>
  <w:num w:numId="5">
    <w:abstractNumId w:val="4"/>
  </w:num>
  <w:num w:numId="6">
    <w:abstractNumId w:val="6"/>
  </w:num>
  <w:num w:numId="7">
    <w:abstractNumId w:val="5"/>
  </w:num>
  <w:num w:numId="8">
    <w:abstractNumId w:val="0"/>
  </w:num>
  <w:num w:numId="9">
    <w:abstractNumId w:val="2"/>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7C4"/>
    <w:rsid w:val="00027686"/>
    <w:rsid w:val="000E4944"/>
    <w:rsid w:val="000F703E"/>
    <w:rsid w:val="00176663"/>
    <w:rsid w:val="00185FE3"/>
    <w:rsid w:val="002C0956"/>
    <w:rsid w:val="002E1D01"/>
    <w:rsid w:val="003E219F"/>
    <w:rsid w:val="00422C73"/>
    <w:rsid w:val="004D0BA0"/>
    <w:rsid w:val="00507EAB"/>
    <w:rsid w:val="00585A04"/>
    <w:rsid w:val="005D6101"/>
    <w:rsid w:val="00632B87"/>
    <w:rsid w:val="006F40E5"/>
    <w:rsid w:val="007B493F"/>
    <w:rsid w:val="007B7E79"/>
    <w:rsid w:val="007D5316"/>
    <w:rsid w:val="008917C4"/>
    <w:rsid w:val="008B7288"/>
    <w:rsid w:val="008E0072"/>
    <w:rsid w:val="008F2AE4"/>
    <w:rsid w:val="00943460"/>
    <w:rsid w:val="00943D1A"/>
    <w:rsid w:val="00961AE7"/>
    <w:rsid w:val="00991C14"/>
    <w:rsid w:val="009D3B1C"/>
    <w:rsid w:val="00BD1BFA"/>
    <w:rsid w:val="00C15135"/>
    <w:rsid w:val="00CF10E2"/>
    <w:rsid w:val="00D845B9"/>
    <w:rsid w:val="00DD7395"/>
    <w:rsid w:val="00DE5EED"/>
    <w:rsid w:val="00E06750"/>
    <w:rsid w:val="00E31B2D"/>
    <w:rsid w:val="00F201A9"/>
    <w:rsid w:val="00FC3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EB2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7C4"/>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8917C4"/>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ing 2 3GPP"/>
    <w:basedOn w:val="Normal"/>
    <w:next w:val="BodyText"/>
    <w:link w:val="Heading2Char"/>
    <w:qFormat/>
    <w:rsid w:val="008917C4"/>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917C4"/>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8917C4"/>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917C4"/>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ing 2 3GPP Char"/>
    <w:basedOn w:val="DefaultParagraphFont"/>
    <w:link w:val="Heading2"/>
    <w:rsid w:val="008917C4"/>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8917C4"/>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17C4"/>
    <w:rPr>
      <w:rFonts w:ascii="Times New Roman" w:eastAsia="MS Mincho" w:hAnsi="Times New Roman" w:cs="Times New Roman"/>
      <w:b/>
      <w:bCs/>
      <w:sz w:val="28"/>
      <w:szCs w:val="28"/>
    </w:rPr>
  </w:style>
  <w:style w:type="paragraph" w:styleId="BodyText">
    <w:name w:val="Body Text"/>
    <w:aliases w:val="bt"/>
    <w:basedOn w:val="Normal"/>
    <w:link w:val="BodyTextChar"/>
    <w:rsid w:val="008917C4"/>
    <w:pPr>
      <w:spacing w:after="120"/>
      <w:jc w:val="both"/>
    </w:pPr>
    <w:rPr>
      <w:rFonts w:eastAsia="MS Mincho"/>
    </w:rPr>
  </w:style>
  <w:style w:type="character" w:customStyle="1" w:styleId="BodyTextChar">
    <w:name w:val="Body Text Char"/>
    <w:aliases w:val="bt Char"/>
    <w:basedOn w:val="DefaultParagraphFont"/>
    <w:link w:val="BodyText"/>
    <w:rsid w:val="008917C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17C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17C4"/>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917C4"/>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8917C4"/>
    <w:rPr>
      <w:rFonts w:ascii="Times New Roman" w:eastAsia="Times New Roman" w:hAnsi="Times New Roman" w:cs="Times New Roman"/>
      <w:sz w:val="20"/>
      <w:szCs w:val="24"/>
    </w:rPr>
  </w:style>
  <w:style w:type="paragraph" w:customStyle="1" w:styleId="3GPPHeader">
    <w:name w:val="3GPP_Header"/>
    <w:basedOn w:val="BodyText"/>
    <w:rsid w:val="008917C4"/>
    <w:pPr>
      <w:tabs>
        <w:tab w:val="left" w:pos="1701"/>
        <w:tab w:val="right" w:pos="9639"/>
      </w:tabs>
      <w:spacing w:after="240" w:line="259" w:lineRule="auto"/>
    </w:pPr>
    <w:rPr>
      <w:rFonts w:ascii="Arial" w:eastAsiaTheme="minorHAnsi" w:hAnsi="Arial" w:cstheme="minorBidi"/>
      <w:b/>
      <w:sz w:val="24"/>
      <w:szCs w:val="22"/>
      <w:lang w:eastAsia="zh-CN"/>
    </w:rPr>
  </w:style>
  <w:style w:type="paragraph" w:styleId="BalloonText">
    <w:name w:val="Balloon Text"/>
    <w:basedOn w:val="Normal"/>
    <w:link w:val="BalloonTextChar"/>
    <w:uiPriority w:val="99"/>
    <w:semiHidden/>
    <w:unhideWhenUsed/>
    <w:rsid w:val="005D61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6101"/>
    <w:rPr>
      <w:rFonts w:ascii="Segoe UI" w:eastAsia="Times New Roman" w:hAnsi="Segoe UI" w:cs="Segoe UI"/>
      <w:sz w:val="18"/>
      <w:szCs w:val="18"/>
    </w:rPr>
  </w:style>
  <w:style w:type="paragraph" w:styleId="Caption">
    <w:name w:val="caption"/>
    <w:basedOn w:val="Normal"/>
    <w:next w:val="Normal"/>
    <w:link w:val="CaptionChar"/>
    <w:qFormat/>
    <w:rsid w:val="005D6101"/>
    <w:pPr>
      <w:overflowPunct w:val="0"/>
      <w:autoSpaceDE w:val="0"/>
      <w:autoSpaceDN w:val="0"/>
      <w:adjustRightInd w:val="0"/>
      <w:spacing w:before="120" w:after="120"/>
      <w:textAlignment w:val="baseline"/>
    </w:pPr>
    <w:rPr>
      <w:rFonts w:eastAsia="SimSun"/>
      <w:b/>
      <w:szCs w:val="20"/>
      <w:lang w:val="en-GB"/>
    </w:rPr>
  </w:style>
  <w:style w:type="table" w:styleId="TableGrid">
    <w:name w:val="Table Grid"/>
    <w:basedOn w:val="TableNormal"/>
    <w:qFormat/>
    <w:rsid w:val="005D6101"/>
    <w:pPr>
      <w:spacing w:after="0" w:line="240" w:lineRule="auto"/>
    </w:pPr>
    <w:rPr>
      <w:rFonts w:ascii="CG Times (WN)" w:eastAsia="SimSun" w:hAnsi="CG Times (W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sid w:val="005D6101"/>
    <w:rPr>
      <w:rFonts w:ascii="Times New Roman" w:eastAsia="SimSun" w:hAnsi="Times New Roman" w:cs="Times New Roman"/>
      <w:b/>
      <w:sz w:val="20"/>
      <w:szCs w:val="20"/>
      <w:lang w:val="en-GB"/>
    </w:rPr>
  </w:style>
  <w:style w:type="paragraph" w:styleId="CommentText">
    <w:name w:val="annotation text"/>
    <w:basedOn w:val="Normal"/>
    <w:link w:val="CommentTextChar"/>
    <w:uiPriority w:val="99"/>
    <w:semiHidden/>
    <w:unhideWhenUsed/>
    <w:rsid w:val="002E1D01"/>
    <w:rPr>
      <w:szCs w:val="20"/>
    </w:rPr>
  </w:style>
  <w:style w:type="character" w:customStyle="1" w:styleId="CommentTextChar">
    <w:name w:val="Comment Text Char"/>
    <w:basedOn w:val="DefaultParagraphFont"/>
    <w:link w:val="CommentText"/>
    <w:uiPriority w:val="99"/>
    <w:semiHidden/>
    <w:rsid w:val="002E1D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E1D01"/>
    <w:pPr>
      <w:overflowPunct w:val="0"/>
      <w:autoSpaceDE w:val="0"/>
      <w:autoSpaceDN w:val="0"/>
      <w:adjustRightInd w:val="0"/>
      <w:spacing w:after="180"/>
      <w:textAlignment w:val="baseline"/>
    </w:pPr>
    <w:rPr>
      <w:b/>
      <w:bCs/>
      <w:lang w:val="en-GB"/>
    </w:rPr>
  </w:style>
  <w:style w:type="character" w:customStyle="1" w:styleId="CommentSubjectChar">
    <w:name w:val="Comment Subject Char"/>
    <w:basedOn w:val="CommentTextChar"/>
    <w:link w:val="CommentSubject"/>
    <w:semiHidden/>
    <w:rsid w:val="002E1D01"/>
    <w:rPr>
      <w:rFonts w:ascii="Times New Roman" w:eastAsia="Times New Roman" w:hAnsi="Times New Roman" w:cs="Times New Roman"/>
      <w:b/>
      <w:bCs/>
      <w:sz w:val="20"/>
      <w:szCs w:val="20"/>
      <w:lang w:val="en-GB"/>
    </w:rPr>
  </w:style>
  <w:style w:type="paragraph" w:styleId="Footer">
    <w:name w:val="footer"/>
    <w:basedOn w:val="Normal"/>
    <w:link w:val="FooterChar"/>
    <w:uiPriority w:val="99"/>
    <w:unhideWhenUsed/>
    <w:rsid w:val="007D5316"/>
    <w:pPr>
      <w:tabs>
        <w:tab w:val="center" w:pos="4680"/>
        <w:tab w:val="right" w:pos="9360"/>
      </w:tabs>
    </w:pPr>
  </w:style>
  <w:style w:type="character" w:customStyle="1" w:styleId="FooterChar">
    <w:name w:val="Footer Char"/>
    <w:basedOn w:val="DefaultParagraphFont"/>
    <w:link w:val="Footer"/>
    <w:uiPriority w:val="99"/>
    <w:rsid w:val="007D5316"/>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3AA48-271A-4ED6-B763-A17F81A99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1982</Words>
  <Characters>11300</Characters>
  <Application>Microsoft Office Word</Application>
  <DocSecurity>0</DocSecurity>
  <Lines>94</Lines>
  <Paragraphs>26</Paragraphs>
  <ScaleCrop>false</ScaleCrop>
  <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2019-05-04T03:19:00Z</dcterms:created>
  <dcterms:modified xsi:type="dcterms:W3CDTF">2019-05-04T04:09:00Z</dcterms:modified>
</cp:coreProperties>
</file>